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96A72" w14:textId="77777777" w:rsidR="00A50A8B" w:rsidRDefault="00A50A8B" w:rsidP="009C7774">
      <w:pPr>
        <w:pStyle w:val="OMBInfo"/>
      </w:pPr>
      <w:r>
        <w:t>OMB No. 0925-0001 and 0925-0002 (Rev. 09/17 Approved Through 03/31/2020)</w:t>
      </w:r>
    </w:p>
    <w:p w14:paraId="48D07FF5" w14:textId="77777777" w:rsidR="002B7443" w:rsidRPr="006E6FB5" w:rsidRDefault="002B7443" w:rsidP="009C7774">
      <w:pPr>
        <w:pStyle w:val="Title"/>
      </w:pPr>
      <w:r w:rsidRPr="006E6FB5">
        <w:t>BIOGRAPHICAL SKETCH</w:t>
      </w:r>
    </w:p>
    <w:p w14:paraId="01C9B6C5" w14:textId="7EDF005C" w:rsidR="002B7443" w:rsidRPr="00F7284D" w:rsidRDefault="002B7443" w:rsidP="009C7774">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17741D16" w:rsidR="002B7443" w:rsidRPr="00D3779E" w:rsidRDefault="002B7443" w:rsidP="009C7774">
      <w:pPr>
        <w:pStyle w:val="FormFieldCaption1"/>
        <w:pBdr>
          <w:between w:val="single" w:sz="4" w:space="1" w:color="auto"/>
        </w:pBdr>
        <w:rPr>
          <w:sz w:val="32"/>
        </w:rPr>
      </w:pPr>
      <w:r w:rsidRPr="00D3779E">
        <w:rPr>
          <w:sz w:val="22"/>
        </w:rPr>
        <w:t>NAME:</w:t>
      </w:r>
      <w:r w:rsidR="00E03323">
        <w:rPr>
          <w:sz w:val="22"/>
        </w:rPr>
        <w:t xml:space="preserve"> </w:t>
      </w:r>
      <w:r w:rsidR="003A596A">
        <w:rPr>
          <w:sz w:val="22"/>
        </w:rPr>
        <w:t>Jaekwang Jeong</w:t>
      </w:r>
    </w:p>
    <w:p w14:paraId="7FFF41C1" w14:textId="013D7FA8" w:rsidR="002B7443" w:rsidRPr="00D3779E" w:rsidRDefault="00E047AD" w:rsidP="009C7774">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DA22ED">
        <w:rPr>
          <w:sz w:val="22"/>
        </w:rPr>
        <w:t>jjeong1230</w:t>
      </w:r>
    </w:p>
    <w:p w14:paraId="74873D9A" w14:textId="495AD259" w:rsidR="002B7443" w:rsidRPr="00D3779E" w:rsidRDefault="00E047AD" w:rsidP="009C7774">
      <w:pPr>
        <w:pStyle w:val="FormFieldCaption1"/>
        <w:pBdr>
          <w:between w:val="single" w:sz="4" w:space="1" w:color="auto"/>
        </w:pBdr>
        <w:rPr>
          <w:sz w:val="32"/>
        </w:rPr>
      </w:pPr>
      <w:r w:rsidRPr="00D3779E">
        <w:rPr>
          <w:sz w:val="22"/>
        </w:rPr>
        <w:t>POSITION TITLE</w:t>
      </w:r>
      <w:r w:rsidR="002B7443" w:rsidRPr="00D3779E">
        <w:rPr>
          <w:sz w:val="22"/>
        </w:rPr>
        <w:t>:</w:t>
      </w:r>
      <w:r w:rsidR="003A596A">
        <w:rPr>
          <w:sz w:val="22"/>
        </w:rPr>
        <w:t xml:space="preserve"> Associate Research Scientist</w:t>
      </w:r>
    </w:p>
    <w:p w14:paraId="035344DF" w14:textId="571DC801" w:rsidR="002B7443" w:rsidRPr="00D3779E" w:rsidRDefault="002B7443" w:rsidP="009C7774">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w:t>
      </w:r>
      <w:proofErr w:type="gramStart"/>
      <w:r w:rsidR="00C1247F" w:rsidRPr="00D3779E">
        <w:rPr>
          <w:rStyle w:val="Emphasis"/>
          <w:sz w:val="22"/>
        </w:rPr>
        <w:t>rows</w:t>
      </w:r>
      <w:proofErr w:type="gramEnd"/>
      <w:r w:rsidR="00C1247F" w:rsidRPr="00D3779E">
        <w:rPr>
          <w:rStyle w:val="Emphasis"/>
          <w:sz w:val="22"/>
        </w:rPr>
        <w:t xml:space="preserve"> as necessary.</w:t>
      </w:r>
      <w:r w:rsidRPr="00D3779E">
        <w:rPr>
          <w:rStyle w:val="Emphasis"/>
          <w:sz w:val="22"/>
        </w:rPr>
        <w:t>)</w:t>
      </w:r>
    </w:p>
    <w:tbl>
      <w:tblPr>
        <w:tblStyle w:val="TableGrid"/>
        <w:tblW w:w="9558"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1314"/>
      </w:tblGrid>
      <w:tr w:rsidR="00933173" w:rsidRPr="00D3779E" w14:paraId="21BBC1F3" w14:textId="77777777" w:rsidTr="0040406C">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9C7774">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9C7774">
            <w:pPr>
              <w:pStyle w:val="FormFieldCaption"/>
              <w:jc w:val="center"/>
              <w:rPr>
                <w:sz w:val="22"/>
              </w:rPr>
            </w:pPr>
            <w:r w:rsidRPr="00D3779E">
              <w:rPr>
                <w:sz w:val="22"/>
              </w:rPr>
              <w:t>DEGREE</w:t>
            </w:r>
          </w:p>
          <w:p w14:paraId="0DEF5BC8" w14:textId="77777777" w:rsidR="00933173" w:rsidRPr="00D3779E" w:rsidRDefault="00933173" w:rsidP="009C7774">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9C7774">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9C7774">
            <w:pPr>
              <w:pStyle w:val="FormFieldCaption"/>
              <w:jc w:val="center"/>
              <w:rPr>
                <w:sz w:val="22"/>
              </w:rPr>
            </w:pPr>
            <w:r w:rsidRPr="00D3779E">
              <w:rPr>
                <w:sz w:val="22"/>
              </w:rPr>
              <w:t>Completion Date</w:t>
            </w:r>
          </w:p>
          <w:p w14:paraId="76B4E15A" w14:textId="09B57E40" w:rsidR="00933173" w:rsidRPr="00D3779E" w:rsidRDefault="00933173" w:rsidP="009C7774">
            <w:pPr>
              <w:pStyle w:val="FormFieldCaption"/>
              <w:jc w:val="center"/>
              <w:rPr>
                <w:sz w:val="22"/>
              </w:rPr>
            </w:pPr>
            <w:r w:rsidRPr="00D3779E">
              <w:rPr>
                <w:sz w:val="22"/>
              </w:rPr>
              <w:t>MM/YYYY</w:t>
            </w:r>
          </w:p>
          <w:p w14:paraId="143620A6" w14:textId="77777777" w:rsidR="00933173" w:rsidRPr="00D3779E" w:rsidRDefault="00933173" w:rsidP="009C7774">
            <w:pPr>
              <w:pStyle w:val="FormFieldCaption"/>
              <w:rPr>
                <w:sz w:val="22"/>
              </w:rPr>
            </w:pPr>
          </w:p>
        </w:tc>
        <w:tc>
          <w:tcPr>
            <w:tcW w:w="1314" w:type="dxa"/>
            <w:tcBorders>
              <w:top w:val="single" w:sz="4" w:space="0" w:color="auto"/>
              <w:bottom w:val="single" w:sz="4" w:space="0" w:color="auto"/>
            </w:tcBorders>
            <w:vAlign w:val="center"/>
          </w:tcPr>
          <w:p w14:paraId="7E87FA43" w14:textId="77777777" w:rsidR="00933173" w:rsidRPr="0040406C" w:rsidRDefault="00933173" w:rsidP="009C7774">
            <w:pPr>
              <w:pStyle w:val="FormFieldCaption"/>
              <w:jc w:val="center"/>
              <w:rPr>
                <w:sz w:val="18"/>
                <w:szCs w:val="18"/>
              </w:rPr>
            </w:pPr>
            <w:r w:rsidRPr="0040406C">
              <w:rPr>
                <w:sz w:val="18"/>
                <w:szCs w:val="18"/>
              </w:rPr>
              <w:t>FIELD OF STUDY</w:t>
            </w:r>
          </w:p>
          <w:p w14:paraId="4198E5FC" w14:textId="77777777" w:rsidR="00933173" w:rsidRPr="0040406C" w:rsidRDefault="00933173" w:rsidP="009C7774">
            <w:pPr>
              <w:pStyle w:val="FormFieldCaption"/>
              <w:rPr>
                <w:sz w:val="18"/>
                <w:szCs w:val="18"/>
              </w:rPr>
            </w:pPr>
          </w:p>
        </w:tc>
      </w:tr>
      <w:tr w:rsidR="00933173" w:rsidRPr="00D3779E" w14:paraId="5CD50646" w14:textId="77777777" w:rsidTr="0040406C">
        <w:trPr>
          <w:cantSplit/>
          <w:trHeight w:val="395"/>
        </w:trPr>
        <w:tc>
          <w:tcPr>
            <w:tcW w:w="5220" w:type="dxa"/>
            <w:tcBorders>
              <w:top w:val="single" w:sz="4" w:space="0" w:color="auto"/>
            </w:tcBorders>
          </w:tcPr>
          <w:p w14:paraId="3B0C531B" w14:textId="6337C19B" w:rsidR="00933173" w:rsidRPr="00977FA5" w:rsidRDefault="003A596A" w:rsidP="009C7774">
            <w:pPr>
              <w:pStyle w:val="FormFieldCaption"/>
              <w:spacing w:before="20" w:after="20"/>
              <w:rPr>
                <w:sz w:val="22"/>
                <w:szCs w:val="22"/>
              </w:rPr>
            </w:pPr>
            <w:proofErr w:type="spellStart"/>
            <w:r>
              <w:rPr>
                <w:sz w:val="22"/>
                <w:szCs w:val="22"/>
              </w:rPr>
              <w:t>Pukyung</w:t>
            </w:r>
            <w:proofErr w:type="spellEnd"/>
            <w:r>
              <w:rPr>
                <w:sz w:val="22"/>
                <w:szCs w:val="22"/>
              </w:rPr>
              <w:t xml:space="preserve"> National University, Pusan, South Korea</w:t>
            </w:r>
          </w:p>
        </w:tc>
        <w:tc>
          <w:tcPr>
            <w:tcW w:w="1440" w:type="dxa"/>
            <w:tcBorders>
              <w:top w:val="single" w:sz="4" w:space="0" w:color="auto"/>
            </w:tcBorders>
          </w:tcPr>
          <w:p w14:paraId="62DD05C1" w14:textId="6D0B3C29" w:rsidR="00933173" w:rsidRPr="00977FA5" w:rsidRDefault="003A596A" w:rsidP="009C7774">
            <w:pPr>
              <w:pStyle w:val="FormFieldCaption"/>
              <w:spacing w:before="20" w:after="20"/>
              <w:jc w:val="center"/>
              <w:rPr>
                <w:sz w:val="22"/>
                <w:szCs w:val="22"/>
              </w:rPr>
            </w:pPr>
            <w:r>
              <w:rPr>
                <w:sz w:val="22"/>
                <w:szCs w:val="22"/>
              </w:rPr>
              <w:t>B.S.</w:t>
            </w:r>
          </w:p>
        </w:tc>
        <w:tc>
          <w:tcPr>
            <w:tcW w:w="1584" w:type="dxa"/>
            <w:tcBorders>
              <w:top w:val="single" w:sz="4" w:space="0" w:color="auto"/>
            </w:tcBorders>
          </w:tcPr>
          <w:p w14:paraId="543299E0" w14:textId="630FDD77" w:rsidR="00933173" w:rsidRPr="00977FA5" w:rsidRDefault="003A596A" w:rsidP="009C7774">
            <w:pPr>
              <w:pStyle w:val="FormFieldCaption"/>
              <w:spacing w:before="20" w:after="20"/>
              <w:jc w:val="center"/>
              <w:rPr>
                <w:sz w:val="22"/>
                <w:szCs w:val="22"/>
              </w:rPr>
            </w:pPr>
            <w:r>
              <w:rPr>
                <w:sz w:val="22"/>
                <w:szCs w:val="22"/>
              </w:rPr>
              <w:t>02/2002</w:t>
            </w:r>
          </w:p>
        </w:tc>
        <w:tc>
          <w:tcPr>
            <w:tcW w:w="1314" w:type="dxa"/>
            <w:tcBorders>
              <w:top w:val="single" w:sz="4" w:space="0" w:color="auto"/>
            </w:tcBorders>
          </w:tcPr>
          <w:p w14:paraId="7BC5582F" w14:textId="72AFFFB6" w:rsidR="00933173" w:rsidRPr="0040406C" w:rsidRDefault="003A596A" w:rsidP="009C7774">
            <w:pPr>
              <w:pStyle w:val="FormFieldCaption"/>
              <w:spacing w:before="20" w:after="20"/>
              <w:rPr>
                <w:sz w:val="18"/>
                <w:szCs w:val="18"/>
              </w:rPr>
            </w:pPr>
            <w:r w:rsidRPr="0040406C">
              <w:rPr>
                <w:sz w:val="18"/>
                <w:szCs w:val="18"/>
              </w:rPr>
              <w:t>Microbiology</w:t>
            </w:r>
          </w:p>
        </w:tc>
      </w:tr>
      <w:tr w:rsidR="003A596A" w:rsidRPr="00D3779E" w14:paraId="1515F345" w14:textId="77777777" w:rsidTr="0040406C">
        <w:trPr>
          <w:cantSplit/>
          <w:trHeight w:val="395"/>
        </w:trPr>
        <w:tc>
          <w:tcPr>
            <w:tcW w:w="5220" w:type="dxa"/>
          </w:tcPr>
          <w:p w14:paraId="7DED23E7" w14:textId="6E22E307" w:rsidR="003A596A" w:rsidRPr="00977FA5" w:rsidRDefault="003A596A" w:rsidP="009C7774">
            <w:pPr>
              <w:pStyle w:val="FormFieldCaption"/>
              <w:spacing w:before="20" w:after="20"/>
              <w:rPr>
                <w:sz w:val="22"/>
                <w:szCs w:val="22"/>
              </w:rPr>
            </w:pPr>
            <w:proofErr w:type="spellStart"/>
            <w:r>
              <w:rPr>
                <w:sz w:val="22"/>
                <w:szCs w:val="22"/>
              </w:rPr>
              <w:t>Pukyung</w:t>
            </w:r>
            <w:proofErr w:type="spellEnd"/>
            <w:r>
              <w:rPr>
                <w:sz w:val="22"/>
                <w:szCs w:val="22"/>
              </w:rPr>
              <w:t xml:space="preserve"> National University, Pusan, South Korea</w:t>
            </w:r>
          </w:p>
        </w:tc>
        <w:tc>
          <w:tcPr>
            <w:tcW w:w="1440" w:type="dxa"/>
          </w:tcPr>
          <w:p w14:paraId="0D874BFC" w14:textId="4B6C7E20" w:rsidR="003A596A" w:rsidRPr="00977FA5" w:rsidRDefault="003A596A" w:rsidP="009C7774">
            <w:pPr>
              <w:pStyle w:val="FormFieldCaption"/>
              <w:spacing w:before="20" w:after="20"/>
              <w:jc w:val="center"/>
              <w:rPr>
                <w:sz w:val="22"/>
                <w:szCs w:val="22"/>
              </w:rPr>
            </w:pPr>
            <w:r>
              <w:rPr>
                <w:sz w:val="22"/>
                <w:szCs w:val="22"/>
              </w:rPr>
              <w:t>M.S.</w:t>
            </w:r>
          </w:p>
        </w:tc>
        <w:tc>
          <w:tcPr>
            <w:tcW w:w="1584" w:type="dxa"/>
          </w:tcPr>
          <w:p w14:paraId="1A7AA7CA" w14:textId="1C2F71C3" w:rsidR="003A596A" w:rsidRPr="00977FA5" w:rsidRDefault="003A596A" w:rsidP="009C7774">
            <w:pPr>
              <w:pStyle w:val="FormFieldCaption"/>
              <w:spacing w:before="20" w:after="20"/>
              <w:jc w:val="center"/>
              <w:rPr>
                <w:sz w:val="22"/>
                <w:szCs w:val="22"/>
              </w:rPr>
            </w:pPr>
            <w:r>
              <w:rPr>
                <w:sz w:val="22"/>
                <w:szCs w:val="22"/>
              </w:rPr>
              <w:t>02/2004</w:t>
            </w:r>
          </w:p>
        </w:tc>
        <w:tc>
          <w:tcPr>
            <w:tcW w:w="1314" w:type="dxa"/>
          </w:tcPr>
          <w:p w14:paraId="4CC74E5C" w14:textId="13908DB8" w:rsidR="003A596A" w:rsidRPr="0040406C" w:rsidRDefault="003A596A" w:rsidP="009C7774">
            <w:pPr>
              <w:pStyle w:val="FormFieldCaption"/>
              <w:spacing w:before="20" w:after="20"/>
              <w:rPr>
                <w:sz w:val="18"/>
                <w:szCs w:val="18"/>
              </w:rPr>
            </w:pPr>
            <w:r w:rsidRPr="0040406C">
              <w:rPr>
                <w:sz w:val="18"/>
                <w:szCs w:val="18"/>
              </w:rPr>
              <w:t>Microbiology</w:t>
            </w:r>
          </w:p>
        </w:tc>
      </w:tr>
      <w:tr w:rsidR="003A596A" w:rsidRPr="00D3779E" w14:paraId="51E27C1C" w14:textId="77777777" w:rsidTr="0040406C">
        <w:trPr>
          <w:cantSplit/>
          <w:trHeight w:val="395"/>
        </w:trPr>
        <w:tc>
          <w:tcPr>
            <w:tcW w:w="5220" w:type="dxa"/>
          </w:tcPr>
          <w:p w14:paraId="66BC8FF0" w14:textId="2B99882A" w:rsidR="003A596A" w:rsidRPr="00977FA5" w:rsidRDefault="003A596A" w:rsidP="009C7774">
            <w:pPr>
              <w:pStyle w:val="FormFieldCaption"/>
              <w:spacing w:before="20" w:after="20"/>
              <w:rPr>
                <w:sz w:val="22"/>
                <w:szCs w:val="22"/>
              </w:rPr>
            </w:pPr>
            <w:r>
              <w:rPr>
                <w:sz w:val="22"/>
                <w:szCs w:val="22"/>
              </w:rPr>
              <w:t>University of Maryland, College Park</w:t>
            </w:r>
          </w:p>
        </w:tc>
        <w:tc>
          <w:tcPr>
            <w:tcW w:w="1440" w:type="dxa"/>
          </w:tcPr>
          <w:p w14:paraId="6AEADABA" w14:textId="3C096F33" w:rsidR="003A596A" w:rsidRPr="00977FA5" w:rsidRDefault="003A596A" w:rsidP="009C7774">
            <w:pPr>
              <w:pStyle w:val="FormFieldCaption"/>
              <w:spacing w:before="20" w:after="20"/>
              <w:jc w:val="center"/>
              <w:rPr>
                <w:sz w:val="22"/>
                <w:szCs w:val="22"/>
              </w:rPr>
            </w:pPr>
            <w:r>
              <w:rPr>
                <w:sz w:val="22"/>
                <w:szCs w:val="22"/>
              </w:rPr>
              <w:t>Ph.D.</w:t>
            </w:r>
          </w:p>
        </w:tc>
        <w:tc>
          <w:tcPr>
            <w:tcW w:w="1584" w:type="dxa"/>
          </w:tcPr>
          <w:p w14:paraId="4ED60B07" w14:textId="50FBDD5B" w:rsidR="003A596A" w:rsidRPr="00977FA5" w:rsidRDefault="003A596A" w:rsidP="009C7774">
            <w:pPr>
              <w:pStyle w:val="FormFieldCaption"/>
              <w:spacing w:before="20" w:after="20"/>
              <w:jc w:val="center"/>
              <w:rPr>
                <w:sz w:val="22"/>
                <w:szCs w:val="22"/>
              </w:rPr>
            </w:pPr>
            <w:r>
              <w:rPr>
                <w:sz w:val="22"/>
                <w:szCs w:val="22"/>
              </w:rPr>
              <w:t>05/2011</w:t>
            </w:r>
          </w:p>
        </w:tc>
        <w:tc>
          <w:tcPr>
            <w:tcW w:w="1314" w:type="dxa"/>
          </w:tcPr>
          <w:p w14:paraId="2303550C" w14:textId="6967C020" w:rsidR="003A596A" w:rsidRPr="0040406C" w:rsidRDefault="003A596A" w:rsidP="009C7774">
            <w:pPr>
              <w:pStyle w:val="FormFieldCaption"/>
              <w:spacing w:before="20" w:after="20"/>
              <w:rPr>
                <w:sz w:val="18"/>
                <w:szCs w:val="18"/>
              </w:rPr>
            </w:pPr>
            <w:r w:rsidRPr="0040406C">
              <w:rPr>
                <w:sz w:val="18"/>
                <w:szCs w:val="18"/>
              </w:rPr>
              <w:t>Cell Biology</w:t>
            </w:r>
          </w:p>
        </w:tc>
      </w:tr>
      <w:tr w:rsidR="003A596A" w:rsidRPr="00D3779E" w14:paraId="09D52645" w14:textId="77777777" w:rsidTr="0040406C">
        <w:trPr>
          <w:cantSplit/>
          <w:trHeight w:val="395"/>
        </w:trPr>
        <w:tc>
          <w:tcPr>
            <w:tcW w:w="5220" w:type="dxa"/>
          </w:tcPr>
          <w:p w14:paraId="76A4F390" w14:textId="5B006FD0" w:rsidR="003A596A" w:rsidRPr="00977FA5" w:rsidRDefault="003A596A" w:rsidP="009C7774">
            <w:pPr>
              <w:pStyle w:val="FormFieldCaption"/>
              <w:spacing w:before="20" w:after="20"/>
              <w:rPr>
                <w:sz w:val="22"/>
                <w:szCs w:val="22"/>
              </w:rPr>
            </w:pPr>
            <w:r>
              <w:rPr>
                <w:sz w:val="22"/>
                <w:szCs w:val="22"/>
              </w:rPr>
              <w:t>Yale University School of Medicine</w:t>
            </w:r>
          </w:p>
        </w:tc>
        <w:tc>
          <w:tcPr>
            <w:tcW w:w="1440" w:type="dxa"/>
          </w:tcPr>
          <w:p w14:paraId="3120D72C" w14:textId="3ACE6032" w:rsidR="003A596A" w:rsidRPr="00977FA5" w:rsidRDefault="003A596A" w:rsidP="009C7774">
            <w:pPr>
              <w:pStyle w:val="FormFieldCaption"/>
              <w:spacing w:before="20" w:after="20"/>
              <w:jc w:val="center"/>
              <w:rPr>
                <w:sz w:val="22"/>
                <w:szCs w:val="22"/>
              </w:rPr>
            </w:pPr>
            <w:r>
              <w:rPr>
                <w:sz w:val="22"/>
                <w:szCs w:val="22"/>
              </w:rPr>
              <w:t>Postdoctoral</w:t>
            </w:r>
          </w:p>
        </w:tc>
        <w:tc>
          <w:tcPr>
            <w:tcW w:w="1584" w:type="dxa"/>
          </w:tcPr>
          <w:p w14:paraId="53EB7033" w14:textId="1E39A4B0" w:rsidR="003A596A" w:rsidRPr="00977FA5" w:rsidRDefault="00B2660C" w:rsidP="009C7774">
            <w:pPr>
              <w:pStyle w:val="FormFieldCaption"/>
              <w:spacing w:before="20" w:after="20"/>
              <w:jc w:val="center"/>
              <w:rPr>
                <w:sz w:val="22"/>
                <w:szCs w:val="22"/>
              </w:rPr>
            </w:pPr>
            <w:r>
              <w:rPr>
                <w:sz w:val="22"/>
                <w:szCs w:val="22"/>
              </w:rPr>
              <w:t>03/2017</w:t>
            </w:r>
          </w:p>
        </w:tc>
        <w:tc>
          <w:tcPr>
            <w:tcW w:w="1314" w:type="dxa"/>
          </w:tcPr>
          <w:p w14:paraId="4418E34F" w14:textId="1A4D2BA4" w:rsidR="003A596A" w:rsidRPr="0040406C" w:rsidRDefault="003A596A" w:rsidP="009C7774">
            <w:pPr>
              <w:pStyle w:val="FormFieldCaption"/>
              <w:spacing w:before="20" w:after="20"/>
              <w:rPr>
                <w:sz w:val="18"/>
                <w:szCs w:val="18"/>
              </w:rPr>
            </w:pPr>
            <w:r w:rsidRPr="0040406C">
              <w:rPr>
                <w:sz w:val="18"/>
                <w:szCs w:val="18"/>
              </w:rPr>
              <w:t>Cancer Cell Biology</w:t>
            </w:r>
          </w:p>
        </w:tc>
      </w:tr>
      <w:tr w:rsidR="003A596A" w:rsidRPr="00D3779E" w14:paraId="767906B9" w14:textId="77777777" w:rsidTr="0040406C">
        <w:trPr>
          <w:cantSplit/>
          <w:trHeight w:val="395"/>
        </w:trPr>
        <w:tc>
          <w:tcPr>
            <w:tcW w:w="5220" w:type="dxa"/>
          </w:tcPr>
          <w:p w14:paraId="4D43CFA6" w14:textId="2FFF44CD" w:rsidR="003A596A" w:rsidRPr="00977FA5" w:rsidRDefault="003A596A" w:rsidP="009C7774">
            <w:pPr>
              <w:pStyle w:val="FormFieldCaption"/>
              <w:spacing w:before="20" w:after="20"/>
              <w:rPr>
                <w:sz w:val="22"/>
                <w:szCs w:val="22"/>
              </w:rPr>
            </w:pPr>
          </w:p>
        </w:tc>
        <w:tc>
          <w:tcPr>
            <w:tcW w:w="1440" w:type="dxa"/>
          </w:tcPr>
          <w:p w14:paraId="3D81FEFA" w14:textId="77777777" w:rsidR="003A596A" w:rsidRPr="00977FA5" w:rsidRDefault="003A596A" w:rsidP="009C7774">
            <w:pPr>
              <w:pStyle w:val="FormFieldCaption"/>
              <w:spacing w:before="20" w:after="20"/>
              <w:jc w:val="center"/>
              <w:rPr>
                <w:sz w:val="22"/>
                <w:szCs w:val="22"/>
              </w:rPr>
            </w:pPr>
          </w:p>
        </w:tc>
        <w:tc>
          <w:tcPr>
            <w:tcW w:w="1584" w:type="dxa"/>
          </w:tcPr>
          <w:p w14:paraId="3F1F9756" w14:textId="77777777" w:rsidR="003A596A" w:rsidRPr="00977FA5" w:rsidRDefault="003A596A" w:rsidP="009C7774">
            <w:pPr>
              <w:pStyle w:val="FormFieldCaption"/>
              <w:spacing w:before="20" w:after="20"/>
              <w:jc w:val="center"/>
              <w:rPr>
                <w:sz w:val="22"/>
                <w:szCs w:val="22"/>
              </w:rPr>
            </w:pPr>
          </w:p>
        </w:tc>
        <w:tc>
          <w:tcPr>
            <w:tcW w:w="1314" w:type="dxa"/>
          </w:tcPr>
          <w:p w14:paraId="4D6D5595" w14:textId="685C1785" w:rsidR="003A596A" w:rsidRPr="00977FA5" w:rsidRDefault="003A596A" w:rsidP="009C7774">
            <w:pPr>
              <w:pStyle w:val="FormFieldCaption"/>
              <w:spacing w:before="20" w:after="20"/>
              <w:rPr>
                <w:sz w:val="22"/>
                <w:szCs w:val="22"/>
              </w:rPr>
            </w:pPr>
          </w:p>
        </w:tc>
      </w:tr>
    </w:tbl>
    <w:p w14:paraId="6FC868BE" w14:textId="735E875D" w:rsidR="009E52CA" w:rsidRDefault="009E52CA" w:rsidP="009C7774">
      <w:pPr>
        <w:pStyle w:val="DataField11pt-Single"/>
      </w:pPr>
    </w:p>
    <w:p w14:paraId="1695BFF0" w14:textId="77777777" w:rsidR="002C51BC" w:rsidRDefault="002C51BC" w:rsidP="009C7774"/>
    <w:p w14:paraId="1EF6800D" w14:textId="77777777" w:rsidR="003A596A" w:rsidRPr="009C7774" w:rsidRDefault="002C51BC" w:rsidP="009C7774">
      <w:pPr>
        <w:pStyle w:val="Default"/>
        <w:spacing w:after="120"/>
        <w:rPr>
          <w:rStyle w:val="Strong"/>
          <w:rFonts w:ascii="Arial" w:hAnsi="Arial" w:cs="Arial"/>
        </w:rPr>
      </w:pPr>
      <w:r w:rsidRPr="009C7774">
        <w:rPr>
          <w:rStyle w:val="Strong"/>
          <w:rFonts w:ascii="Arial" w:hAnsi="Arial" w:cs="Arial"/>
        </w:rPr>
        <w:t>A.</w:t>
      </w:r>
      <w:r w:rsidRPr="009C7774">
        <w:rPr>
          <w:rStyle w:val="Strong"/>
          <w:rFonts w:ascii="Arial" w:hAnsi="Arial" w:cs="Arial"/>
        </w:rPr>
        <w:tab/>
        <w:t>Personal Statement</w:t>
      </w:r>
    </w:p>
    <w:p w14:paraId="13BE6A5F" w14:textId="1280CAE6" w:rsidR="003A596A" w:rsidRPr="009C7774" w:rsidRDefault="003A596A" w:rsidP="009C7774">
      <w:pPr>
        <w:pStyle w:val="Default"/>
        <w:spacing w:after="120"/>
        <w:rPr>
          <w:rFonts w:ascii="Arial" w:hAnsi="Arial" w:cs="Arial"/>
        </w:rPr>
      </w:pPr>
      <w:r w:rsidRPr="009C7774">
        <w:rPr>
          <w:rFonts w:ascii="Arial" w:hAnsi="Arial" w:cs="Arial"/>
        </w:rPr>
        <w:t xml:space="preserve">I have been trained in broad areas from </w:t>
      </w:r>
      <w:r w:rsidRPr="009C7774">
        <w:rPr>
          <w:rFonts w:ascii="Arial" w:hAnsi="Arial" w:cs="Arial"/>
          <w:color w:val="auto"/>
        </w:rPr>
        <w:t xml:space="preserve">fundamental cell and molecular biology to advanced cancer biology. During my Ph.D. period, I </w:t>
      </w:r>
      <w:r w:rsidR="00FA0021" w:rsidRPr="009C7774">
        <w:rPr>
          <w:rFonts w:ascii="Arial" w:hAnsi="Arial" w:cs="Arial"/>
          <w:color w:val="auto"/>
        </w:rPr>
        <w:t xml:space="preserve">found a unique mechanism in secretory </w:t>
      </w:r>
      <w:r w:rsidRPr="009C7774">
        <w:rPr>
          <w:rFonts w:ascii="Arial" w:hAnsi="Arial" w:cs="Arial"/>
          <w:color w:val="auto"/>
        </w:rPr>
        <w:t xml:space="preserve">epithelial cells in the lactating mammary gland.  </w:t>
      </w:r>
      <w:r w:rsidR="00FA0021" w:rsidRPr="009C7774">
        <w:rPr>
          <w:rFonts w:ascii="Arial" w:hAnsi="Arial" w:cs="Arial"/>
          <w:color w:val="auto"/>
        </w:rPr>
        <w:t>T</w:t>
      </w:r>
      <w:r w:rsidRPr="009C7774">
        <w:rPr>
          <w:rFonts w:ascii="Arial" w:hAnsi="Arial" w:cs="Arial"/>
          <w:color w:val="auto"/>
        </w:rPr>
        <w:t xml:space="preserve">he formation of </w:t>
      </w:r>
      <w:r w:rsidR="00FA0021" w:rsidRPr="009C7774">
        <w:rPr>
          <w:rFonts w:ascii="Arial" w:hAnsi="Arial" w:cs="Arial"/>
          <w:color w:val="auto"/>
        </w:rPr>
        <w:t xml:space="preserve">the </w:t>
      </w:r>
      <w:r w:rsidRPr="009C7774">
        <w:rPr>
          <w:rFonts w:ascii="Arial" w:hAnsi="Arial" w:cs="Arial"/>
          <w:color w:val="auto"/>
        </w:rPr>
        <w:t xml:space="preserve">milk-lipid globule </w:t>
      </w:r>
      <w:r w:rsidRPr="009C7774">
        <w:rPr>
          <w:rFonts w:ascii="Arial" w:hAnsi="Arial" w:cs="Arial"/>
        </w:rPr>
        <w:t xml:space="preserve">membrane is driven by interactions between the membrane protein, </w:t>
      </w:r>
      <w:proofErr w:type="spellStart"/>
      <w:r w:rsidRPr="009C7774">
        <w:rPr>
          <w:rFonts w:ascii="Arial" w:hAnsi="Arial" w:cs="Arial"/>
        </w:rPr>
        <w:t>butyrophilin</w:t>
      </w:r>
      <w:proofErr w:type="spellEnd"/>
      <w:r w:rsidRPr="009C7774">
        <w:rPr>
          <w:rFonts w:ascii="Arial" w:hAnsi="Arial" w:cs="Arial"/>
        </w:rPr>
        <w:t xml:space="preserve"> (BTN), and the redox enzyme, xanthine </w:t>
      </w:r>
      <w:proofErr w:type="spellStart"/>
      <w:r w:rsidRPr="009C7774">
        <w:rPr>
          <w:rFonts w:ascii="Arial" w:hAnsi="Arial" w:cs="Arial"/>
        </w:rPr>
        <w:t>oxido</w:t>
      </w:r>
      <w:proofErr w:type="spellEnd"/>
      <w:r w:rsidRPr="009C7774">
        <w:rPr>
          <w:rFonts w:ascii="Arial" w:hAnsi="Arial" w:cs="Arial"/>
        </w:rPr>
        <w:t xml:space="preserve">-reductase (XOR) at the apical surface. </w:t>
      </w:r>
      <w:r w:rsidR="00FA0021" w:rsidRPr="009C7774">
        <w:rPr>
          <w:rFonts w:ascii="Arial" w:hAnsi="Arial" w:cs="Arial"/>
        </w:rPr>
        <w:t>Therefore, these</w:t>
      </w:r>
      <w:r w:rsidRPr="009C7774">
        <w:rPr>
          <w:rFonts w:ascii="Arial" w:hAnsi="Arial" w:cs="Arial"/>
        </w:rPr>
        <w:t xml:space="preserve"> training provided me a strong background in the cell biology. My goal is to establish an independent research </w:t>
      </w:r>
      <w:r w:rsidR="00FA0021" w:rsidRPr="009C7774">
        <w:rPr>
          <w:rFonts w:ascii="Arial" w:hAnsi="Arial" w:cs="Arial"/>
        </w:rPr>
        <w:t>lab</w:t>
      </w:r>
      <w:r w:rsidRPr="009C7774">
        <w:rPr>
          <w:rFonts w:ascii="Arial" w:hAnsi="Arial" w:cs="Arial"/>
        </w:rPr>
        <w:t xml:space="preserve"> focused on how the dysregulation of normal breast biology contributes to breast cancer. Therefore, I joined Dr. </w:t>
      </w:r>
      <w:proofErr w:type="spellStart"/>
      <w:r w:rsidRPr="009C7774">
        <w:rPr>
          <w:rFonts w:ascii="Arial" w:hAnsi="Arial" w:cs="Arial"/>
        </w:rPr>
        <w:t>Wysolmerski’s</w:t>
      </w:r>
      <w:proofErr w:type="spellEnd"/>
      <w:r w:rsidRPr="009C7774">
        <w:rPr>
          <w:rFonts w:ascii="Arial" w:hAnsi="Arial" w:cs="Arial"/>
        </w:rPr>
        <w:t xml:space="preserve"> laboratory as his research has </w:t>
      </w:r>
      <w:r w:rsidR="00FA0021" w:rsidRPr="009C7774">
        <w:rPr>
          <w:rFonts w:ascii="Arial" w:hAnsi="Arial" w:cs="Arial"/>
        </w:rPr>
        <w:t>focused</w:t>
      </w:r>
      <w:r w:rsidRPr="009C7774">
        <w:rPr>
          <w:rFonts w:ascii="Arial" w:hAnsi="Arial" w:cs="Arial"/>
        </w:rPr>
        <w:t xml:space="preserve"> on how breast cells </w:t>
      </w:r>
      <w:r w:rsidR="00FA0021" w:rsidRPr="009C7774">
        <w:rPr>
          <w:rFonts w:ascii="Arial" w:hAnsi="Arial" w:cs="Arial"/>
        </w:rPr>
        <w:t>handle</w:t>
      </w:r>
      <w:r w:rsidRPr="009C7774">
        <w:rPr>
          <w:rFonts w:ascii="Arial" w:hAnsi="Arial" w:cs="Arial"/>
        </w:rPr>
        <w:t xml:space="preserve"> calcium </w:t>
      </w:r>
      <w:r w:rsidR="00FA0021" w:rsidRPr="009C7774">
        <w:rPr>
          <w:rFonts w:ascii="Arial" w:hAnsi="Arial" w:cs="Arial"/>
        </w:rPr>
        <w:t>signaling</w:t>
      </w:r>
      <w:r w:rsidRPr="009C7774">
        <w:rPr>
          <w:rFonts w:ascii="Arial" w:hAnsi="Arial" w:cs="Arial"/>
        </w:rPr>
        <w:t xml:space="preserve"> both during lactation and in cancers. I advanced my research interest into cancer cell biology. Initially, my research has been focusing on the PMCA2, a calcium pump protein, and NHERF1, a PDZ domain co</w:t>
      </w:r>
      <w:r w:rsidR="00FA0021" w:rsidRPr="009C7774">
        <w:rPr>
          <w:rFonts w:ascii="Arial" w:hAnsi="Arial" w:cs="Arial"/>
        </w:rPr>
        <w:t xml:space="preserve">ntaining a scaffolding protein, and </w:t>
      </w:r>
      <w:r w:rsidRPr="009C7774">
        <w:rPr>
          <w:rFonts w:ascii="Arial" w:hAnsi="Arial" w:cs="Arial"/>
        </w:rPr>
        <w:t xml:space="preserve">I found </w:t>
      </w:r>
      <w:r w:rsidR="00FA0021" w:rsidRPr="009C7774">
        <w:rPr>
          <w:rFonts w:ascii="Arial" w:hAnsi="Arial" w:cs="Arial"/>
        </w:rPr>
        <w:t xml:space="preserve">a novel HER2 driven protein-protein interaction which includes HER2, </w:t>
      </w:r>
      <w:r w:rsidRPr="009C7774">
        <w:rPr>
          <w:rFonts w:ascii="Arial" w:hAnsi="Arial" w:cs="Arial"/>
        </w:rPr>
        <w:t>PMCA2</w:t>
      </w:r>
      <w:r w:rsidR="00FA0021" w:rsidRPr="009C7774">
        <w:rPr>
          <w:rFonts w:ascii="Arial" w:hAnsi="Arial" w:cs="Arial"/>
        </w:rPr>
        <w:t>,</w:t>
      </w:r>
      <w:r w:rsidRPr="009C7774">
        <w:rPr>
          <w:rFonts w:ascii="Arial" w:hAnsi="Arial" w:cs="Arial"/>
        </w:rPr>
        <w:t xml:space="preserve"> NHERF1</w:t>
      </w:r>
      <w:r w:rsidR="00FA0021" w:rsidRPr="009C7774">
        <w:rPr>
          <w:rFonts w:ascii="Arial" w:hAnsi="Arial" w:cs="Arial"/>
        </w:rPr>
        <w:t>, Ezrin, and actin cytoskeleton. This protein complex is</w:t>
      </w:r>
      <w:r w:rsidRPr="009C7774">
        <w:rPr>
          <w:rFonts w:ascii="Arial" w:hAnsi="Arial" w:cs="Arial"/>
        </w:rPr>
        <w:t xml:space="preserve"> important for HER2 signaling</w:t>
      </w:r>
      <w:r w:rsidR="00A221C2" w:rsidRPr="009C7774">
        <w:rPr>
          <w:rFonts w:ascii="Arial" w:hAnsi="Arial" w:cs="Arial"/>
        </w:rPr>
        <w:t xml:space="preserve"> and membrane retention </w:t>
      </w:r>
      <w:r w:rsidRPr="009C7774">
        <w:rPr>
          <w:rFonts w:ascii="Arial" w:hAnsi="Arial" w:cs="Arial"/>
        </w:rPr>
        <w:t xml:space="preserve">which causes malignant transformation in transgenic mice. The discovery of this new </w:t>
      </w:r>
      <w:r w:rsidR="00FA0021" w:rsidRPr="009C7774">
        <w:rPr>
          <w:rFonts w:ascii="Arial" w:hAnsi="Arial" w:cs="Arial"/>
        </w:rPr>
        <w:t xml:space="preserve">complex and </w:t>
      </w:r>
      <w:r w:rsidRPr="009C7774">
        <w:rPr>
          <w:rFonts w:ascii="Arial" w:hAnsi="Arial" w:cs="Arial"/>
        </w:rPr>
        <w:t xml:space="preserve">pathway will stimulate the development of novel drugs that would be effective treatments for HER2-positive tumors either alone or in combination with established therapies. </w:t>
      </w:r>
    </w:p>
    <w:p w14:paraId="00977992" w14:textId="6BF9432C" w:rsidR="002C51BC" w:rsidRPr="009C7774" w:rsidRDefault="002C51BC" w:rsidP="009C7774">
      <w:pPr>
        <w:pStyle w:val="DataField11pt-Single"/>
        <w:rPr>
          <w:rStyle w:val="Strong"/>
          <w:sz w:val="24"/>
          <w:szCs w:val="24"/>
        </w:rPr>
      </w:pPr>
    </w:p>
    <w:p w14:paraId="4E1F882A" w14:textId="77777777" w:rsidR="002C51BC" w:rsidRPr="009C7774" w:rsidRDefault="002C51BC" w:rsidP="009C7774">
      <w:pPr>
        <w:pStyle w:val="DataField11pt-Single"/>
        <w:rPr>
          <w:rStyle w:val="Strong"/>
          <w:sz w:val="24"/>
          <w:szCs w:val="24"/>
        </w:rPr>
      </w:pPr>
    </w:p>
    <w:p w14:paraId="2AB7A0F5" w14:textId="7F587C1E" w:rsidR="002C51BC" w:rsidRPr="009C7774" w:rsidRDefault="002C51BC" w:rsidP="009C7774">
      <w:pPr>
        <w:pStyle w:val="DataField11pt-Single"/>
        <w:rPr>
          <w:rStyle w:val="Strong"/>
          <w:sz w:val="24"/>
          <w:szCs w:val="24"/>
        </w:rPr>
      </w:pPr>
      <w:r w:rsidRPr="009C7774">
        <w:rPr>
          <w:rStyle w:val="Strong"/>
          <w:sz w:val="24"/>
          <w:szCs w:val="24"/>
        </w:rPr>
        <w:t>B.</w:t>
      </w:r>
      <w:r w:rsidRPr="009C7774">
        <w:rPr>
          <w:rStyle w:val="Strong"/>
          <w:sz w:val="24"/>
          <w:szCs w:val="24"/>
        </w:rPr>
        <w:tab/>
        <w:t>Positions and Honors</w:t>
      </w:r>
      <w:r w:rsidR="00FE10AD" w:rsidRPr="009C7774">
        <w:rPr>
          <w:rStyle w:val="Strong"/>
          <w:sz w:val="24"/>
          <w:szCs w:val="24"/>
        </w:rPr>
        <w:br/>
      </w:r>
      <w:r w:rsidR="00674CA4" w:rsidRPr="009C7774">
        <w:rPr>
          <w:rStyle w:val="Strong"/>
          <w:sz w:val="24"/>
          <w:szCs w:val="24"/>
        </w:rPr>
        <w:t xml:space="preserve">Professional experience: </w:t>
      </w:r>
    </w:p>
    <w:p w14:paraId="23033D25" w14:textId="3A3AE1F1" w:rsidR="00674CA4" w:rsidRPr="009C7774" w:rsidRDefault="00674CA4" w:rsidP="009C7774">
      <w:pPr>
        <w:adjustRightInd w:val="0"/>
        <w:rPr>
          <w:rFonts w:cs="Arial"/>
          <w:sz w:val="24"/>
        </w:rPr>
      </w:pPr>
      <w:r w:rsidRPr="009C7774">
        <w:rPr>
          <w:rFonts w:cs="Arial"/>
          <w:sz w:val="24"/>
        </w:rPr>
        <w:t>201</w:t>
      </w:r>
      <w:r w:rsidR="006E5B25" w:rsidRPr="009C7774">
        <w:rPr>
          <w:rFonts w:cs="Arial"/>
          <w:sz w:val="24"/>
        </w:rPr>
        <w:t>7</w:t>
      </w:r>
      <w:r w:rsidRPr="009C7774">
        <w:rPr>
          <w:rFonts w:cs="Arial"/>
          <w:sz w:val="24"/>
        </w:rPr>
        <w:t>-Present Associate Research Scientist, Department of Internal Medicine, Yale School of Medicine</w:t>
      </w:r>
    </w:p>
    <w:p w14:paraId="0DB71332" w14:textId="167502D8" w:rsidR="003A596A" w:rsidRPr="009C7774" w:rsidRDefault="00A221C2" w:rsidP="009C7774">
      <w:pPr>
        <w:adjustRightInd w:val="0"/>
        <w:rPr>
          <w:rFonts w:cs="Arial"/>
          <w:sz w:val="24"/>
        </w:rPr>
      </w:pPr>
      <w:r w:rsidRPr="009C7774">
        <w:rPr>
          <w:rFonts w:cs="Arial"/>
          <w:sz w:val="24"/>
        </w:rPr>
        <w:t>2013-201</w:t>
      </w:r>
      <w:r w:rsidRPr="009C7774">
        <w:rPr>
          <w:rFonts w:cs="Arial"/>
          <w:sz w:val="24"/>
          <w:lang w:eastAsia="ko-KR"/>
        </w:rPr>
        <w:t>5</w:t>
      </w:r>
      <w:r w:rsidR="003A596A" w:rsidRPr="009C7774">
        <w:rPr>
          <w:rFonts w:cs="Arial"/>
          <w:sz w:val="24"/>
        </w:rPr>
        <w:t xml:space="preserve"> NIH Postdoctoral Training Fellowship, Yale School of Medicine </w:t>
      </w:r>
    </w:p>
    <w:p w14:paraId="62AD38E8" w14:textId="3241A864" w:rsidR="00674CA4" w:rsidRPr="009C7774" w:rsidRDefault="00674CA4" w:rsidP="009C7774">
      <w:pPr>
        <w:adjustRightInd w:val="0"/>
        <w:rPr>
          <w:rFonts w:cs="Arial"/>
          <w:sz w:val="24"/>
        </w:rPr>
      </w:pPr>
      <w:r w:rsidRPr="009C7774">
        <w:rPr>
          <w:rFonts w:cs="Arial"/>
          <w:sz w:val="24"/>
        </w:rPr>
        <w:t>2012-2013 Postdoctoral Fellow, Yale School of Medicine</w:t>
      </w:r>
    </w:p>
    <w:p w14:paraId="0E1B3F82" w14:textId="004B952C" w:rsidR="003A596A" w:rsidRPr="009C7774" w:rsidRDefault="003A596A" w:rsidP="009C7774">
      <w:pPr>
        <w:adjustRightInd w:val="0"/>
        <w:rPr>
          <w:rFonts w:cs="Arial"/>
          <w:sz w:val="24"/>
        </w:rPr>
      </w:pPr>
      <w:r w:rsidRPr="009C7774">
        <w:rPr>
          <w:rFonts w:cs="Arial"/>
          <w:sz w:val="24"/>
        </w:rPr>
        <w:t xml:space="preserve">2011-2012 NIH Postdoctoral Training Fellowship, Yale School of Medicine </w:t>
      </w:r>
    </w:p>
    <w:p w14:paraId="1BC8CA46" w14:textId="77777777" w:rsidR="00674CA4" w:rsidRPr="009C7774" w:rsidRDefault="00674CA4" w:rsidP="009C7774">
      <w:pPr>
        <w:pStyle w:val="DataField11pt-Single"/>
        <w:rPr>
          <w:sz w:val="24"/>
          <w:szCs w:val="24"/>
        </w:rPr>
      </w:pPr>
    </w:p>
    <w:p w14:paraId="1BE5CD9C" w14:textId="77777777" w:rsidR="00674CA4" w:rsidRPr="009C7774" w:rsidRDefault="00674CA4" w:rsidP="009C7774">
      <w:pPr>
        <w:pStyle w:val="DataField11pt-Single"/>
        <w:rPr>
          <w:rStyle w:val="Strong"/>
          <w:sz w:val="24"/>
          <w:szCs w:val="24"/>
        </w:rPr>
      </w:pPr>
    </w:p>
    <w:p w14:paraId="01048D84" w14:textId="259DDD34" w:rsidR="00674CA4" w:rsidRPr="009C7774" w:rsidRDefault="00674CA4" w:rsidP="009C7774">
      <w:pPr>
        <w:pStyle w:val="DataField11pt-Single"/>
        <w:rPr>
          <w:rStyle w:val="Strong"/>
          <w:sz w:val="24"/>
          <w:szCs w:val="24"/>
        </w:rPr>
      </w:pPr>
      <w:r w:rsidRPr="009C7774">
        <w:rPr>
          <w:rStyle w:val="Strong"/>
          <w:sz w:val="24"/>
          <w:szCs w:val="24"/>
        </w:rPr>
        <w:t>Honors</w:t>
      </w:r>
    </w:p>
    <w:p w14:paraId="343BD378" w14:textId="1E38294C" w:rsidR="00674CA4" w:rsidRPr="009C7774" w:rsidRDefault="00674CA4" w:rsidP="009C7774">
      <w:pPr>
        <w:adjustRightInd w:val="0"/>
        <w:rPr>
          <w:rFonts w:cs="Arial"/>
          <w:sz w:val="24"/>
        </w:rPr>
      </w:pPr>
      <w:r w:rsidRPr="009C7774">
        <w:rPr>
          <w:rFonts w:cs="Arial"/>
          <w:sz w:val="24"/>
        </w:rPr>
        <w:t xml:space="preserve">2012-2013 James Hudson-Alexander Brown </w:t>
      </w:r>
      <w:proofErr w:type="spellStart"/>
      <w:r w:rsidRPr="009C7774">
        <w:rPr>
          <w:rFonts w:cs="Arial"/>
          <w:sz w:val="24"/>
        </w:rPr>
        <w:t>Coxe</w:t>
      </w:r>
      <w:proofErr w:type="spellEnd"/>
      <w:r w:rsidRPr="009C7774">
        <w:rPr>
          <w:rFonts w:cs="Arial"/>
          <w:sz w:val="24"/>
        </w:rPr>
        <w:t xml:space="preserve"> Fellowship award, Yale School of Medicine</w:t>
      </w:r>
    </w:p>
    <w:p w14:paraId="50ED6341" w14:textId="77777777" w:rsidR="00674CA4" w:rsidRPr="009C7774" w:rsidRDefault="00674CA4" w:rsidP="009C7774">
      <w:pPr>
        <w:adjustRightInd w:val="0"/>
        <w:rPr>
          <w:rFonts w:cs="Arial"/>
          <w:sz w:val="24"/>
        </w:rPr>
      </w:pPr>
      <w:r w:rsidRPr="009C7774">
        <w:rPr>
          <w:rFonts w:cs="Arial"/>
          <w:sz w:val="24"/>
        </w:rPr>
        <w:t>2010 Best Poster presentation Bioscience Day, University of Maryland, College Park</w:t>
      </w:r>
    </w:p>
    <w:p w14:paraId="3E0591C0" w14:textId="77777777" w:rsidR="00674CA4" w:rsidRPr="009C7774" w:rsidRDefault="00674CA4" w:rsidP="009C7774">
      <w:pPr>
        <w:pStyle w:val="DataField11pt-Single"/>
        <w:rPr>
          <w:sz w:val="24"/>
          <w:szCs w:val="24"/>
        </w:rPr>
      </w:pPr>
      <w:r w:rsidRPr="009C7774">
        <w:rPr>
          <w:sz w:val="24"/>
          <w:szCs w:val="24"/>
        </w:rPr>
        <w:t>2008 Best Poster presentation MOCB annual symposium, University of Maryland, College Park</w:t>
      </w:r>
    </w:p>
    <w:p w14:paraId="6757518D" w14:textId="7B79A10B" w:rsidR="007641CA" w:rsidRPr="009C7774" w:rsidRDefault="007641CA" w:rsidP="009C7774">
      <w:pPr>
        <w:autoSpaceDE/>
        <w:autoSpaceDN/>
        <w:rPr>
          <w:rStyle w:val="Strong"/>
          <w:rFonts w:cs="Arial"/>
          <w:sz w:val="24"/>
        </w:rPr>
      </w:pPr>
    </w:p>
    <w:p w14:paraId="76B5441E" w14:textId="77777777" w:rsidR="00674CA4" w:rsidRPr="009C7774" w:rsidRDefault="00674CA4" w:rsidP="009C7774">
      <w:pPr>
        <w:autoSpaceDE/>
        <w:autoSpaceDN/>
        <w:rPr>
          <w:rStyle w:val="Strong"/>
          <w:rFonts w:cs="Arial"/>
          <w:sz w:val="24"/>
        </w:rPr>
      </w:pPr>
    </w:p>
    <w:p w14:paraId="5A0DA5DF" w14:textId="77777777" w:rsidR="00674CA4" w:rsidRPr="009C7774" w:rsidRDefault="002C51BC" w:rsidP="009C7774">
      <w:pPr>
        <w:adjustRightInd w:val="0"/>
        <w:rPr>
          <w:rFonts w:cs="Arial"/>
          <w:b/>
          <w:sz w:val="24"/>
          <w:lang w:eastAsia="ko-KR"/>
        </w:rPr>
      </w:pPr>
      <w:r w:rsidRPr="009C7774">
        <w:rPr>
          <w:rStyle w:val="Strong"/>
          <w:rFonts w:cs="Arial"/>
          <w:sz w:val="24"/>
        </w:rPr>
        <w:t>C.</w:t>
      </w:r>
      <w:r w:rsidRPr="009C7774">
        <w:rPr>
          <w:rStyle w:val="Strong"/>
          <w:rFonts w:cs="Arial"/>
          <w:sz w:val="24"/>
        </w:rPr>
        <w:tab/>
        <w:t>Contributions to Science</w:t>
      </w:r>
      <w:r w:rsidR="00FE10AD" w:rsidRPr="009C7774">
        <w:rPr>
          <w:rStyle w:val="Strong"/>
          <w:rFonts w:cs="Arial"/>
          <w:sz w:val="24"/>
        </w:rPr>
        <w:br/>
      </w:r>
    </w:p>
    <w:p w14:paraId="3FCBEDA1" w14:textId="4309664F" w:rsidR="00674CA4" w:rsidRPr="009C7774" w:rsidRDefault="00674CA4" w:rsidP="009C7774">
      <w:pPr>
        <w:adjustRightInd w:val="0"/>
        <w:rPr>
          <w:rFonts w:cs="Arial"/>
          <w:b/>
          <w:sz w:val="24"/>
          <w:lang w:eastAsia="ko-KR"/>
        </w:rPr>
      </w:pPr>
      <w:r w:rsidRPr="009C7774">
        <w:rPr>
          <w:rFonts w:cs="Arial"/>
          <w:b/>
          <w:sz w:val="24"/>
          <w:lang w:eastAsia="ko-KR"/>
        </w:rPr>
        <w:t xml:space="preserve">1. Defined the role of PMCA2, NHERF1, and Ezrin in breast cancer. </w:t>
      </w:r>
      <w:r w:rsidRPr="009C7774">
        <w:rPr>
          <w:rFonts w:cs="Arial"/>
          <w:sz w:val="24"/>
        </w:rPr>
        <w:t xml:space="preserve">PMCA2 is highly expressed calcium pump in the HER2 positive breast cancer.  PMCA2 is </w:t>
      </w:r>
      <w:r w:rsidR="003F0A87" w:rsidRPr="009C7774">
        <w:rPr>
          <w:rFonts w:cs="Arial"/>
          <w:sz w:val="24"/>
        </w:rPr>
        <w:t>over-</w:t>
      </w:r>
      <w:r w:rsidRPr="009C7774">
        <w:rPr>
          <w:rFonts w:cs="Arial"/>
          <w:sz w:val="24"/>
        </w:rPr>
        <w:t xml:space="preserve">expressed in breast cancer cells and we showed that high levels of PMCA2 expression are an independent predictor of death in a large cohort </w:t>
      </w:r>
      <w:r w:rsidR="008F7584" w:rsidRPr="009C7774">
        <w:rPr>
          <w:rFonts w:cs="Arial"/>
          <w:sz w:val="24"/>
        </w:rPr>
        <w:t>of patients with breast cancer.</w:t>
      </w:r>
      <w:r w:rsidRPr="009C7774">
        <w:rPr>
          <w:rFonts w:cs="Arial"/>
          <w:sz w:val="24"/>
        </w:rPr>
        <w:t xml:space="preserve"> </w:t>
      </w:r>
      <w:r w:rsidR="003F0A87" w:rsidRPr="009C7774">
        <w:rPr>
          <w:rFonts w:cs="Arial"/>
          <w:sz w:val="24"/>
        </w:rPr>
        <w:t xml:space="preserve">Our recent studies </w:t>
      </w:r>
      <w:r w:rsidR="008F7584" w:rsidRPr="009C7774">
        <w:rPr>
          <w:rFonts w:cs="Arial"/>
          <w:sz w:val="24"/>
        </w:rPr>
        <w:t xml:space="preserve">expanded that </w:t>
      </w:r>
      <w:r w:rsidRPr="009C7774">
        <w:rPr>
          <w:rFonts w:cs="Arial"/>
          <w:sz w:val="24"/>
        </w:rPr>
        <w:t xml:space="preserve">PMCA2 interacts with the scaffolding </w:t>
      </w:r>
      <w:r w:rsidR="003F0A87" w:rsidRPr="009C7774">
        <w:rPr>
          <w:rFonts w:cs="Arial"/>
          <w:sz w:val="24"/>
        </w:rPr>
        <w:t>proteins</w:t>
      </w:r>
      <w:r w:rsidRPr="009C7774">
        <w:rPr>
          <w:rFonts w:cs="Arial"/>
          <w:sz w:val="24"/>
        </w:rPr>
        <w:t>, NHERF1</w:t>
      </w:r>
      <w:r w:rsidR="003F0A87" w:rsidRPr="009C7774">
        <w:rPr>
          <w:rFonts w:cs="Arial"/>
          <w:sz w:val="24"/>
        </w:rPr>
        <w:t xml:space="preserve"> and Ezrin</w:t>
      </w:r>
      <w:r w:rsidRPr="009C7774">
        <w:rPr>
          <w:rFonts w:cs="Arial"/>
          <w:sz w:val="24"/>
        </w:rPr>
        <w:t xml:space="preserve">, and </w:t>
      </w:r>
      <w:r w:rsidR="003F0A87" w:rsidRPr="009C7774">
        <w:rPr>
          <w:rFonts w:cs="Arial"/>
          <w:sz w:val="24"/>
        </w:rPr>
        <w:t>this interaction</w:t>
      </w:r>
      <w:r w:rsidRPr="009C7774">
        <w:rPr>
          <w:rFonts w:cs="Arial"/>
          <w:sz w:val="24"/>
        </w:rPr>
        <w:t xml:space="preserve"> regulate</w:t>
      </w:r>
      <w:r w:rsidR="003F0A87" w:rsidRPr="009C7774">
        <w:rPr>
          <w:rFonts w:cs="Arial"/>
          <w:sz w:val="24"/>
        </w:rPr>
        <w:t>s</w:t>
      </w:r>
      <w:r w:rsidRPr="009C7774">
        <w:rPr>
          <w:rFonts w:cs="Arial"/>
          <w:sz w:val="24"/>
        </w:rPr>
        <w:t xml:space="preserve"> ErbB2 localization and signaling in breast cancers.  </w:t>
      </w:r>
    </w:p>
    <w:p w14:paraId="56D06425" w14:textId="77777777" w:rsidR="00674CA4" w:rsidRPr="009C7774" w:rsidRDefault="00674CA4" w:rsidP="009C7774">
      <w:pPr>
        <w:adjustRightInd w:val="0"/>
        <w:rPr>
          <w:rFonts w:cs="Arial"/>
          <w:b/>
          <w:sz w:val="24"/>
          <w:lang w:eastAsia="ko-KR"/>
        </w:rPr>
      </w:pPr>
    </w:p>
    <w:p w14:paraId="01102261" w14:textId="09F3C915" w:rsidR="003A596A" w:rsidRPr="009C7774" w:rsidRDefault="003A596A" w:rsidP="009C7774">
      <w:pPr>
        <w:pStyle w:val="ListParagraph"/>
        <w:numPr>
          <w:ilvl w:val="0"/>
          <w:numId w:val="19"/>
        </w:numPr>
        <w:adjustRightInd w:val="0"/>
        <w:rPr>
          <w:rFonts w:cs="Arial"/>
          <w:sz w:val="24"/>
        </w:rPr>
      </w:pPr>
      <w:r w:rsidRPr="009C7774">
        <w:rPr>
          <w:rFonts w:cs="Arial"/>
          <w:b/>
          <w:sz w:val="24"/>
        </w:rPr>
        <w:t>Jeong J</w:t>
      </w:r>
      <w:r w:rsidRPr="009C7774">
        <w:rPr>
          <w:rFonts w:cs="Arial"/>
          <w:sz w:val="24"/>
        </w:rPr>
        <w:t xml:space="preserve">, Choi J, Kim W, </w:t>
      </w:r>
      <w:proofErr w:type="spellStart"/>
      <w:r w:rsidRPr="009C7774">
        <w:rPr>
          <w:rFonts w:cs="Arial"/>
          <w:sz w:val="24"/>
        </w:rPr>
        <w:t>Takyar</w:t>
      </w:r>
      <w:proofErr w:type="spellEnd"/>
      <w:r w:rsidRPr="009C7774">
        <w:rPr>
          <w:rFonts w:cs="Arial"/>
          <w:sz w:val="24"/>
        </w:rPr>
        <w:t xml:space="preserve"> FM, Dann P</w:t>
      </w:r>
      <w:r w:rsidR="00733B25" w:rsidRPr="009C7774">
        <w:rPr>
          <w:rFonts w:cs="Arial"/>
          <w:sz w:val="24"/>
        </w:rPr>
        <w:t xml:space="preserve">, </w:t>
      </w:r>
      <w:proofErr w:type="spellStart"/>
      <w:r w:rsidR="00733B25" w:rsidRPr="009C7774">
        <w:rPr>
          <w:rFonts w:cs="Arial"/>
          <w:sz w:val="24"/>
        </w:rPr>
        <w:t>Wysolmerski</w:t>
      </w:r>
      <w:proofErr w:type="spellEnd"/>
      <w:r w:rsidR="00733B25" w:rsidRPr="009C7774">
        <w:rPr>
          <w:rFonts w:cs="Arial"/>
          <w:sz w:val="24"/>
        </w:rPr>
        <w:t xml:space="preserve"> JJ. (201</w:t>
      </w:r>
      <w:r w:rsidR="00D73F42" w:rsidRPr="009C7774">
        <w:rPr>
          <w:rFonts w:cs="Arial"/>
          <w:sz w:val="24"/>
        </w:rPr>
        <w:t>8</w:t>
      </w:r>
      <w:r w:rsidRPr="009C7774">
        <w:rPr>
          <w:rFonts w:cs="Arial"/>
          <w:sz w:val="24"/>
        </w:rPr>
        <w:t>) Inhibition of Ezrin Causes PKC</w:t>
      </w:r>
      <w:r w:rsidR="009C7774" w:rsidRPr="009C7774">
        <w:rPr>
          <w:rFonts w:ascii="Symbol" w:hAnsi="Symbol" w:cs="Arial"/>
          <w:sz w:val="24"/>
        </w:rPr>
        <w:t>a</w:t>
      </w:r>
      <w:r w:rsidRPr="009C7774">
        <w:rPr>
          <w:rFonts w:cs="Arial"/>
          <w:sz w:val="24"/>
        </w:rPr>
        <w:t xml:space="preserve"> -mediated Internalization and Subsequent Degradation of ErbB2/HER2 in Breast Cancer Cells. </w:t>
      </w:r>
      <w:r w:rsidR="00840115" w:rsidRPr="009C7774">
        <w:rPr>
          <w:rFonts w:cs="Arial"/>
          <w:b/>
          <w:i/>
          <w:iCs/>
          <w:sz w:val="24"/>
        </w:rPr>
        <w:t>J. Biol. Chem</w:t>
      </w:r>
      <w:r w:rsidR="00840115" w:rsidRPr="009C7774">
        <w:rPr>
          <w:rFonts w:cs="Arial"/>
          <w:b/>
          <w:sz w:val="24"/>
        </w:rPr>
        <w:t>.</w:t>
      </w:r>
      <w:r w:rsidR="00E74042" w:rsidRPr="009C7774">
        <w:rPr>
          <w:rFonts w:cs="Arial"/>
          <w:sz w:val="24"/>
        </w:rPr>
        <w:t xml:space="preserve"> 294(3), 8</w:t>
      </w:r>
      <w:r w:rsidR="008C444C" w:rsidRPr="009C7774">
        <w:rPr>
          <w:rFonts w:cs="Arial"/>
          <w:sz w:val="24"/>
        </w:rPr>
        <w:t>8</w:t>
      </w:r>
      <w:r w:rsidR="00E74042" w:rsidRPr="009C7774">
        <w:rPr>
          <w:rFonts w:cs="Arial"/>
          <w:sz w:val="24"/>
        </w:rPr>
        <w:t>7-901</w:t>
      </w:r>
    </w:p>
    <w:p w14:paraId="264B8F28" w14:textId="168D5841" w:rsidR="003A596A" w:rsidRPr="009C7774" w:rsidRDefault="003A596A" w:rsidP="009C7774">
      <w:pPr>
        <w:pStyle w:val="ListParagraph"/>
        <w:numPr>
          <w:ilvl w:val="0"/>
          <w:numId w:val="19"/>
        </w:numPr>
        <w:adjustRightInd w:val="0"/>
        <w:rPr>
          <w:rFonts w:cs="Arial"/>
          <w:sz w:val="24"/>
        </w:rPr>
      </w:pPr>
      <w:r w:rsidRPr="009C7774">
        <w:rPr>
          <w:rFonts w:cs="Arial"/>
          <w:b/>
          <w:sz w:val="24"/>
        </w:rPr>
        <w:t>Jeong J</w:t>
      </w:r>
      <w:r w:rsidRPr="009C7774">
        <w:rPr>
          <w:rFonts w:cs="Arial"/>
          <w:sz w:val="24"/>
        </w:rPr>
        <w:t xml:space="preserve">, Kim W, Kim LK, </w:t>
      </w:r>
      <w:proofErr w:type="spellStart"/>
      <w:r w:rsidRPr="009C7774">
        <w:rPr>
          <w:rFonts w:cs="Arial"/>
          <w:sz w:val="24"/>
        </w:rPr>
        <w:t>Vanhouten</w:t>
      </w:r>
      <w:proofErr w:type="spellEnd"/>
      <w:r w:rsidRPr="009C7774">
        <w:rPr>
          <w:rFonts w:cs="Arial"/>
          <w:sz w:val="24"/>
        </w:rPr>
        <w:t xml:space="preserve"> J, </w:t>
      </w:r>
      <w:proofErr w:type="spellStart"/>
      <w:r w:rsidRPr="009C7774">
        <w:rPr>
          <w:rFonts w:cs="Arial"/>
          <w:sz w:val="24"/>
        </w:rPr>
        <w:t>Wysolmerski</w:t>
      </w:r>
      <w:proofErr w:type="spellEnd"/>
      <w:r w:rsidRPr="009C7774">
        <w:rPr>
          <w:rFonts w:cs="Arial"/>
          <w:sz w:val="24"/>
        </w:rPr>
        <w:t xml:space="preserve"> JJ. (2017) HER2 signaling regulates HER2 localization and membrane retention. </w:t>
      </w:r>
      <w:proofErr w:type="spellStart"/>
      <w:r w:rsidRPr="009C7774">
        <w:rPr>
          <w:rFonts w:cs="Arial"/>
          <w:b/>
          <w:i/>
          <w:iCs/>
          <w:sz w:val="24"/>
        </w:rPr>
        <w:t>PloS</w:t>
      </w:r>
      <w:proofErr w:type="spellEnd"/>
      <w:r w:rsidRPr="009C7774">
        <w:rPr>
          <w:rFonts w:cs="Arial"/>
          <w:b/>
          <w:i/>
          <w:iCs/>
          <w:sz w:val="24"/>
        </w:rPr>
        <w:t xml:space="preserve"> One</w:t>
      </w:r>
      <w:r w:rsidRPr="009C7774">
        <w:rPr>
          <w:rFonts w:cs="Arial"/>
          <w:sz w:val="24"/>
        </w:rPr>
        <w:t>, 3;12(4</w:t>
      </w:r>
      <w:proofErr w:type="gramStart"/>
      <w:r w:rsidRPr="009C7774">
        <w:rPr>
          <w:rFonts w:cs="Arial"/>
          <w:sz w:val="24"/>
        </w:rPr>
        <w:t>):e</w:t>
      </w:r>
      <w:proofErr w:type="gramEnd"/>
      <w:r w:rsidRPr="009C7774">
        <w:rPr>
          <w:rFonts w:cs="Arial"/>
          <w:sz w:val="24"/>
        </w:rPr>
        <w:t xml:space="preserve">0174849 </w:t>
      </w:r>
    </w:p>
    <w:p w14:paraId="50678AE8" w14:textId="58ADE607" w:rsidR="003A596A" w:rsidRPr="009C7774" w:rsidRDefault="003A596A" w:rsidP="009C7774">
      <w:pPr>
        <w:pStyle w:val="ListParagraph"/>
        <w:numPr>
          <w:ilvl w:val="0"/>
          <w:numId w:val="19"/>
        </w:numPr>
        <w:adjustRightInd w:val="0"/>
        <w:rPr>
          <w:rFonts w:cs="Arial"/>
          <w:sz w:val="24"/>
        </w:rPr>
      </w:pPr>
      <w:r w:rsidRPr="009C7774">
        <w:rPr>
          <w:rFonts w:cs="Arial"/>
          <w:b/>
          <w:sz w:val="24"/>
        </w:rPr>
        <w:t>Jeong J</w:t>
      </w:r>
      <w:r w:rsidRPr="009C7774">
        <w:rPr>
          <w:rFonts w:cs="Arial"/>
          <w:sz w:val="24"/>
        </w:rPr>
        <w:t xml:space="preserve">, </w:t>
      </w:r>
      <w:proofErr w:type="spellStart"/>
      <w:r w:rsidRPr="009C7774">
        <w:rPr>
          <w:rFonts w:cs="Arial"/>
          <w:sz w:val="24"/>
        </w:rPr>
        <w:t>Vanhouten</w:t>
      </w:r>
      <w:proofErr w:type="spellEnd"/>
      <w:r w:rsidRPr="009C7774">
        <w:rPr>
          <w:rFonts w:cs="Arial"/>
          <w:sz w:val="24"/>
        </w:rPr>
        <w:t xml:space="preserve"> JN, Kim W, Dann P, Sullivan C, Choi J, Sneddon WB, Friedman PA, </w:t>
      </w:r>
      <w:proofErr w:type="spellStart"/>
      <w:r w:rsidRPr="009C7774">
        <w:rPr>
          <w:rFonts w:cs="Arial"/>
          <w:sz w:val="24"/>
        </w:rPr>
        <w:t>Wysolmerski</w:t>
      </w:r>
      <w:proofErr w:type="spellEnd"/>
      <w:r w:rsidRPr="009C7774">
        <w:rPr>
          <w:rFonts w:cs="Arial"/>
          <w:sz w:val="24"/>
        </w:rPr>
        <w:t xml:space="preserve"> JJ. (2017) The </w:t>
      </w:r>
      <w:proofErr w:type="spellStart"/>
      <w:r w:rsidRPr="009C7774">
        <w:rPr>
          <w:rFonts w:cs="Arial"/>
          <w:sz w:val="24"/>
        </w:rPr>
        <w:t>Sca_olding</w:t>
      </w:r>
      <w:proofErr w:type="spellEnd"/>
      <w:r w:rsidRPr="009C7774">
        <w:rPr>
          <w:rFonts w:cs="Arial"/>
          <w:sz w:val="24"/>
        </w:rPr>
        <w:t xml:space="preserve"> protein NHERF1 Regulates the Stability and Activity of the Tyrosine Kinase HER2</w:t>
      </w:r>
      <w:r w:rsidRPr="009C7774">
        <w:rPr>
          <w:rFonts w:cs="Arial"/>
          <w:b/>
          <w:sz w:val="24"/>
        </w:rPr>
        <w:t xml:space="preserve">. </w:t>
      </w:r>
      <w:r w:rsidRPr="009C7774">
        <w:rPr>
          <w:rFonts w:cs="Arial"/>
          <w:b/>
          <w:i/>
          <w:iCs/>
          <w:sz w:val="24"/>
        </w:rPr>
        <w:t>J. Biol. Chem</w:t>
      </w:r>
      <w:r w:rsidRPr="009C7774">
        <w:rPr>
          <w:rFonts w:cs="Arial"/>
          <w:b/>
          <w:sz w:val="24"/>
        </w:rPr>
        <w:t>.</w:t>
      </w:r>
      <w:r w:rsidRPr="009C7774">
        <w:rPr>
          <w:rFonts w:cs="Arial"/>
          <w:sz w:val="24"/>
        </w:rPr>
        <w:t xml:space="preserve"> Apr 21;292(16):6555-6568</w:t>
      </w:r>
    </w:p>
    <w:p w14:paraId="26689D43" w14:textId="32238568" w:rsidR="003A596A" w:rsidRDefault="003A596A" w:rsidP="009C7774">
      <w:pPr>
        <w:pStyle w:val="ListParagraph"/>
        <w:numPr>
          <w:ilvl w:val="0"/>
          <w:numId w:val="19"/>
        </w:numPr>
        <w:adjustRightInd w:val="0"/>
        <w:rPr>
          <w:rFonts w:cs="Arial"/>
          <w:sz w:val="24"/>
        </w:rPr>
      </w:pPr>
      <w:r w:rsidRPr="009C7774">
        <w:rPr>
          <w:rFonts w:cs="Arial"/>
          <w:b/>
          <w:sz w:val="24"/>
        </w:rPr>
        <w:t>Jeong J</w:t>
      </w:r>
      <w:r w:rsidRPr="009C7774">
        <w:rPr>
          <w:rFonts w:cs="Arial"/>
          <w:sz w:val="24"/>
        </w:rPr>
        <w:t xml:space="preserve">, </w:t>
      </w:r>
      <w:proofErr w:type="spellStart"/>
      <w:r w:rsidRPr="009C7774">
        <w:rPr>
          <w:rFonts w:cs="Arial"/>
          <w:sz w:val="24"/>
        </w:rPr>
        <w:t>VanHouten</w:t>
      </w:r>
      <w:proofErr w:type="spellEnd"/>
      <w:r w:rsidRPr="009C7774">
        <w:rPr>
          <w:rFonts w:cs="Arial"/>
          <w:sz w:val="24"/>
        </w:rPr>
        <w:t xml:space="preserve"> JN, Dann P, Kim W, Sullivan C, Yu H, Liotta L, </w:t>
      </w:r>
      <w:proofErr w:type="spellStart"/>
      <w:r w:rsidRPr="009C7774">
        <w:rPr>
          <w:rFonts w:cs="Arial"/>
          <w:sz w:val="24"/>
        </w:rPr>
        <w:t>Espina</w:t>
      </w:r>
      <w:proofErr w:type="spellEnd"/>
      <w:r w:rsidRPr="009C7774">
        <w:rPr>
          <w:rFonts w:cs="Arial"/>
          <w:sz w:val="24"/>
        </w:rPr>
        <w:t xml:space="preserve"> V, Stern DF, Friedman PA, </w:t>
      </w:r>
      <w:proofErr w:type="spellStart"/>
      <w:r w:rsidRPr="009C7774">
        <w:rPr>
          <w:rFonts w:cs="Arial"/>
          <w:sz w:val="24"/>
        </w:rPr>
        <w:t>Wysolmerski</w:t>
      </w:r>
      <w:proofErr w:type="spellEnd"/>
      <w:r w:rsidRPr="009C7774">
        <w:rPr>
          <w:rFonts w:cs="Arial"/>
          <w:sz w:val="24"/>
        </w:rPr>
        <w:t xml:space="preserve"> JJ. (2016) PMCA2 regulates HER2 protein kinase localization and signaling and promotes HER2-mediated breast cancer. </w:t>
      </w:r>
      <w:r w:rsidRPr="009C7774">
        <w:rPr>
          <w:rFonts w:cs="Arial"/>
          <w:b/>
          <w:i/>
          <w:iCs/>
          <w:sz w:val="24"/>
        </w:rPr>
        <w:t xml:space="preserve">Proc Natl </w:t>
      </w:r>
      <w:proofErr w:type="spellStart"/>
      <w:r w:rsidRPr="009C7774">
        <w:rPr>
          <w:rFonts w:cs="Arial"/>
          <w:b/>
          <w:i/>
          <w:iCs/>
          <w:sz w:val="24"/>
        </w:rPr>
        <w:t>Acad</w:t>
      </w:r>
      <w:proofErr w:type="spellEnd"/>
      <w:r w:rsidRPr="009C7774">
        <w:rPr>
          <w:rFonts w:cs="Arial"/>
          <w:b/>
          <w:i/>
          <w:iCs/>
          <w:sz w:val="24"/>
        </w:rPr>
        <w:t xml:space="preserve"> Sci U S A</w:t>
      </w:r>
      <w:r w:rsidRPr="009C7774">
        <w:rPr>
          <w:rFonts w:cs="Arial"/>
          <w:b/>
          <w:sz w:val="24"/>
        </w:rPr>
        <w:t>.</w:t>
      </w:r>
      <w:r w:rsidRPr="009C7774">
        <w:rPr>
          <w:rFonts w:cs="Arial"/>
          <w:sz w:val="24"/>
        </w:rPr>
        <w:t xml:space="preserve"> 113(3</w:t>
      </w:r>
      <w:proofErr w:type="gramStart"/>
      <w:r w:rsidRPr="009C7774">
        <w:rPr>
          <w:rFonts w:cs="Arial"/>
          <w:sz w:val="24"/>
        </w:rPr>
        <w:t>):E</w:t>
      </w:r>
      <w:proofErr w:type="gramEnd"/>
      <w:r w:rsidRPr="009C7774">
        <w:rPr>
          <w:rFonts w:cs="Arial"/>
          <w:sz w:val="24"/>
        </w:rPr>
        <w:t>282-90</w:t>
      </w:r>
    </w:p>
    <w:p w14:paraId="17C1B010" w14:textId="337EA650" w:rsidR="00EE1C80" w:rsidRDefault="00EE1C80" w:rsidP="00EE1C80">
      <w:pPr>
        <w:adjustRightInd w:val="0"/>
        <w:rPr>
          <w:rFonts w:cs="Arial"/>
          <w:sz w:val="24"/>
        </w:rPr>
      </w:pPr>
    </w:p>
    <w:p w14:paraId="1CBF1445" w14:textId="6F356F71" w:rsidR="00EE1C80" w:rsidRDefault="00EE1C80" w:rsidP="00EE1C80">
      <w:pPr>
        <w:adjustRightInd w:val="0"/>
        <w:rPr>
          <w:rFonts w:cs="Arial"/>
          <w:sz w:val="24"/>
        </w:rPr>
      </w:pPr>
      <w:r w:rsidRPr="00CE5BB8">
        <w:rPr>
          <w:rFonts w:cs="Arial"/>
          <w:b/>
          <w:bCs/>
          <w:sz w:val="24"/>
        </w:rPr>
        <w:t>2. Defined the role of MAL2, a lipid raft resident protein, in breast cancer.</w:t>
      </w:r>
      <w:r w:rsidRPr="00CE5BB8">
        <w:rPr>
          <w:rFonts w:cs="Arial"/>
          <w:sz w:val="24"/>
        </w:rPr>
        <w:t xml:space="preserve"> </w:t>
      </w:r>
      <w:r w:rsidRPr="00CE5BB8">
        <w:rPr>
          <w:rFonts w:cs="Arial"/>
          <w:sz w:val="24"/>
        </w:rPr>
        <w:t xml:space="preserve">MAL2-mediated lipid raft formation is required for the retention of an intact HER2 signaling </w:t>
      </w:r>
      <w:r w:rsidRPr="00CE5BB8">
        <w:rPr>
          <w:rFonts w:cs="Arial"/>
          <w:sz w:val="24"/>
        </w:rPr>
        <w:lastRenderedPageBreak/>
        <w:t>complex at the plasma membrane as well as enhanced HER2 signaling in breast cancer cells.</w:t>
      </w:r>
    </w:p>
    <w:p w14:paraId="70013E47" w14:textId="7ABF3049" w:rsidR="00CE5BB8" w:rsidRDefault="00CE5BB8" w:rsidP="00EE1C80">
      <w:pPr>
        <w:adjustRightInd w:val="0"/>
        <w:rPr>
          <w:rFonts w:cs="Arial"/>
          <w:sz w:val="24"/>
        </w:rPr>
      </w:pPr>
    </w:p>
    <w:p w14:paraId="3ABBB9E0" w14:textId="2DFC2AFA" w:rsidR="00CE5BB8" w:rsidRPr="009C7774" w:rsidRDefault="00CE5BB8" w:rsidP="00CE5BB8">
      <w:pPr>
        <w:pStyle w:val="ListParagraph"/>
        <w:numPr>
          <w:ilvl w:val="0"/>
          <w:numId w:val="23"/>
        </w:numPr>
        <w:rPr>
          <w:rFonts w:cs="Arial"/>
          <w:bCs/>
          <w:sz w:val="24"/>
        </w:rPr>
      </w:pPr>
      <w:r w:rsidRPr="007E5BA5">
        <w:rPr>
          <w:rFonts w:cs="Arial"/>
          <w:b/>
          <w:bCs/>
          <w:sz w:val="24"/>
        </w:rPr>
        <w:t>Jeong J</w:t>
      </w:r>
      <w:r w:rsidRPr="009C7774">
        <w:rPr>
          <w:rFonts w:cs="Arial"/>
          <w:sz w:val="24"/>
        </w:rPr>
        <w:t>, Shin JH, Li W, Hong JY, Lim</w:t>
      </w:r>
      <w:r w:rsidRPr="009C7774">
        <w:rPr>
          <w:rFonts w:cs="Arial"/>
          <w:sz w:val="24"/>
          <w:vertAlign w:val="superscript"/>
        </w:rPr>
        <w:t xml:space="preserve"> </w:t>
      </w:r>
      <w:r w:rsidRPr="009C7774">
        <w:rPr>
          <w:rFonts w:cs="Arial"/>
          <w:sz w:val="24"/>
        </w:rPr>
        <w:t xml:space="preserve">J, Hwang JY, Chung JJ, Yan Q, Liu Y, Choi J, </w:t>
      </w:r>
      <w:proofErr w:type="spellStart"/>
      <w:r w:rsidRPr="009C7774">
        <w:rPr>
          <w:rFonts w:cs="Arial"/>
          <w:sz w:val="24"/>
        </w:rPr>
        <w:t>Wysolmerski</w:t>
      </w:r>
      <w:proofErr w:type="spellEnd"/>
      <w:r w:rsidRPr="009C7774">
        <w:rPr>
          <w:rFonts w:cs="Arial"/>
          <w:sz w:val="24"/>
          <w:vertAlign w:val="superscript"/>
        </w:rPr>
        <w:t xml:space="preserve"> </w:t>
      </w:r>
      <w:r w:rsidRPr="009C7774">
        <w:rPr>
          <w:rFonts w:cs="Arial"/>
          <w:sz w:val="24"/>
        </w:rPr>
        <w:t>JJ</w:t>
      </w:r>
      <w:r>
        <w:rPr>
          <w:rFonts w:cs="Arial"/>
          <w:sz w:val="24"/>
        </w:rPr>
        <w:t>.</w:t>
      </w:r>
      <w:r w:rsidRPr="009C7774">
        <w:rPr>
          <w:rFonts w:cs="Arial"/>
          <w:sz w:val="24"/>
        </w:rPr>
        <w:t xml:space="preserve"> </w:t>
      </w:r>
      <w:r w:rsidRPr="009C7774">
        <w:rPr>
          <w:rFonts w:cs="Arial"/>
          <w:bCs/>
          <w:sz w:val="24"/>
        </w:rPr>
        <w:t>MAL2 mediates the formation of stable HER2 signaling complexes within lipid raft-rich membrane protrusions in breast cancer cells.</w:t>
      </w:r>
      <w:r>
        <w:rPr>
          <w:rFonts w:cs="Arial"/>
          <w:bCs/>
          <w:sz w:val="24"/>
        </w:rPr>
        <w:t xml:space="preserve"> (2020) Manuscript in Preparation. </w:t>
      </w:r>
      <w:r w:rsidRPr="007E5BA5">
        <w:rPr>
          <w:rFonts w:cs="Arial"/>
          <w:b/>
          <w:sz w:val="24"/>
        </w:rPr>
        <w:t>Corresponding Author</w:t>
      </w:r>
      <w:r>
        <w:rPr>
          <w:rFonts w:cs="Arial"/>
          <w:b/>
          <w:sz w:val="24"/>
        </w:rPr>
        <w:t>.</w:t>
      </w:r>
    </w:p>
    <w:p w14:paraId="13AC6286" w14:textId="4ED68B3C" w:rsidR="00CE5BB8" w:rsidRPr="00CE5BB8" w:rsidRDefault="00CE5BB8" w:rsidP="00EE1C80">
      <w:pPr>
        <w:adjustRightInd w:val="0"/>
        <w:rPr>
          <w:rFonts w:cs="Arial"/>
          <w:sz w:val="24"/>
        </w:rPr>
      </w:pPr>
    </w:p>
    <w:p w14:paraId="6575AA92" w14:textId="426FA7E1" w:rsidR="00737B81" w:rsidRPr="00CE5BB8" w:rsidRDefault="00737B81" w:rsidP="009C7774">
      <w:pPr>
        <w:adjustRightInd w:val="0"/>
        <w:rPr>
          <w:rFonts w:cs="Arial"/>
          <w:sz w:val="24"/>
        </w:rPr>
      </w:pPr>
    </w:p>
    <w:p w14:paraId="50884DE3" w14:textId="05AE3B5D" w:rsidR="00737B81" w:rsidRPr="009C7774" w:rsidRDefault="00CE5BB8" w:rsidP="009C7774">
      <w:pPr>
        <w:adjustRightInd w:val="0"/>
        <w:rPr>
          <w:rFonts w:cs="Arial"/>
          <w:sz w:val="24"/>
        </w:rPr>
      </w:pPr>
      <w:r>
        <w:rPr>
          <w:rFonts w:cs="Arial"/>
          <w:b/>
          <w:sz w:val="24"/>
          <w:lang w:eastAsia="ko-KR"/>
        </w:rPr>
        <w:t>3</w:t>
      </w:r>
      <w:r w:rsidR="00737B81" w:rsidRPr="009C7774">
        <w:rPr>
          <w:rFonts w:cs="Arial"/>
          <w:b/>
          <w:sz w:val="24"/>
          <w:lang w:eastAsia="ko-KR"/>
        </w:rPr>
        <w:t xml:space="preserve">. Defined the role of PMCA2, NHERF1, and Ezrin in normal mammary gland. </w:t>
      </w:r>
      <w:r w:rsidR="00737B81" w:rsidRPr="009C7774">
        <w:rPr>
          <w:rFonts w:cs="Arial"/>
          <w:sz w:val="24"/>
          <w:lang w:eastAsia="ko-KR"/>
        </w:rPr>
        <w:t xml:space="preserve">PMCA2 and NHERF1 expressed highly in the lactating mammary gland. </w:t>
      </w:r>
      <w:r w:rsidR="00737B81" w:rsidRPr="009C7774">
        <w:rPr>
          <w:rFonts w:cs="Arial"/>
          <w:sz w:val="24"/>
        </w:rPr>
        <w:t xml:space="preserve">We identified that PMCA2 and NHERF1 levels decrease during mammary involution and that loss of PMCA2 acts as an important trigger for mammary gland involution after weaning. We identified that the interaction between PMCA2 and NHERF1 is critical for controlling the intracellular calcium levels during lactation. </w:t>
      </w:r>
    </w:p>
    <w:p w14:paraId="791DDE1E" w14:textId="77777777" w:rsidR="003D5812" w:rsidRPr="009C7774" w:rsidRDefault="003D5812" w:rsidP="009C7774">
      <w:pPr>
        <w:adjustRightInd w:val="0"/>
        <w:rPr>
          <w:rFonts w:cs="Arial"/>
          <w:sz w:val="24"/>
        </w:rPr>
      </w:pPr>
    </w:p>
    <w:p w14:paraId="26194F5D" w14:textId="769B4511" w:rsidR="009C7774" w:rsidRPr="009C7774" w:rsidRDefault="009C7774" w:rsidP="009C7774">
      <w:pPr>
        <w:pStyle w:val="ListParagraph"/>
        <w:numPr>
          <w:ilvl w:val="0"/>
          <w:numId w:val="22"/>
        </w:numPr>
        <w:adjustRightInd w:val="0"/>
        <w:rPr>
          <w:rFonts w:cs="Arial"/>
          <w:color w:val="000000" w:themeColor="text1"/>
          <w:sz w:val="24"/>
        </w:rPr>
      </w:pPr>
      <w:proofErr w:type="spellStart"/>
      <w:r>
        <w:rPr>
          <w:rFonts w:cs="Arial"/>
          <w:color w:val="000000" w:themeColor="text1"/>
          <w:sz w:val="24"/>
        </w:rPr>
        <w:t>Grinman</w:t>
      </w:r>
      <w:proofErr w:type="spellEnd"/>
      <w:r>
        <w:rPr>
          <w:rFonts w:cs="Arial"/>
          <w:color w:val="000000" w:themeColor="text1"/>
          <w:sz w:val="24"/>
        </w:rPr>
        <w:t xml:space="preserve"> D, </w:t>
      </w:r>
      <w:proofErr w:type="spellStart"/>
      <w:r>
        <w:rPr>
          <w:rFonts w:cs="Arial"/>
          <w:color w:val="000000" w:themeColor="text1"/>
          <w:sz w:val="24"/>
        </w:rPr>
        <w:t>Athonvarungkul</w:t>
      </w:r>
      <w:proofErr w:type="spellEnd"/>
      <w:r>
        <w:rPr>
          <w:rFonts w:cs="Arial"/>
          <w:color w:val="000000" w:themeColor="text1"/>
          <w:sz w:val="24"/>
        </w:rPr>
        <w:t xml:space="preserve"> D, </w:t>
      </w:r>
      <w:proofErr w:type="spellStart"/>
      <w:r>
        <w:rPr>
          <w:rFonts w:cs="Arial"/>
          <w:color w:val="000000" w:themeColor="text1"/>
          <w:sz w:val="24"/>
        </w:rPr>
        <w:t>Wysolmerski</w:t>
      </w:r>
      <w:proofErr w:type="spellEnd"/>
      <w:r>
        <w:rPr>
          <w:rFonts w:cs="Arial"/>
          <w:color w:val="000000" w:themeColor="text1"/>
          <w:sz w:val="24"/>
        </w:rPr>
        <w:t xml:space="preserve"> JJ, </w:t>
      </w:r>
      <w:r w:rsidRPr="009C7774">
        <w:rPr>
          <w:rFonts w:cs="Arial"/>
          <w:b/>
          <w:bCs/>
          <w:color w:val="000000" w:themeColor="text1"/>
          <w:sz w:val="24"/>
        </w:rPr>
        <w:t>Jeong J</w:t>
      </w:r>
      <w:r>
        <w:rPr>
          <w:rFonts w:cs="Arial"/>
          <w:color w:val="000000" w:themeColor="text1"/>
          <w:sz w:val="24"/>
        </w:rPr>
        <w:t xml:space="preserve"> (2020) Calcium Metabolism and Breast Cancer; Echoes of Lactation? </w:t>
      </w:r>
      <w:r w:rsidRPr="009C7774">
        <w:rPr>
          <w:rFonts w:cs="Arial"/>
          <w:b/>
          <w:bCs/>
          <w:i/>
          <w:iCs/>
          <w:color w:val="000000" w:themeColor="text1"/>
          <w:sz w:val="24"/>
        </w:rPr>
        <w:t>Current Opinion in Endocrinology and Metabolic Research</w:t>
      </w:r>
      <w:r>
        <w:rPr>
          <w:rFonts w:cs="Arial"/>
          <w:color w:val="000000" w:themeColor="text1"/>
          <w:sz w:val="24"/>
        </w:rPr>
        <w:t>, Under Review</w:t>
      </w:r>
    </w:p>
    <w:p w14:paraId="19027BB3" w14:textId="67363843" w:rsidR="00737B81" w:rsidRPr="009C7774" w:rsidRDefault="00737B81" w:rsidP="009C7774">
      <w:pPr>
        <w:pStyle w:val="ListParagraph"/>
        <w:numPr>
          <w:ilvl w:val="0"/>
          <w:numId w:val="22"/>
        </w:numPr>
        <w:adjustRightInd w:val="0"/>
        <w:rPr>
          <w:rFonts w:cs="Arial"/>
          <w:color w:val="000000" w:themeColor="text1"/>
          <w:sz w:val="24"/>
        </w:rPr>
      </w:pPr>
      <w:r w:rsidRPr="009C7774">
        <w:rPr>
          <w:rFonts w:cs="Arial"/>
          <w:b/>
          <w:sz w:val="24"/>
        </w:rPr>
        <w:t>Jeong J</w:t>
      </w:r>
      <w:r w:rsidRPr="009C7774">
        <w:rPr>
          <w:rFonts w:cs="Arial"/>
          <w:sz w:val="24"/>
        </w:rPr>
        <w:t xml:space="preserve">, Kim W, Hens J, Dann P, </w:t>
      </w:r>
      <w:proofErr w:type="spellStart"/>
      <w:r w:rsidRPr="009C7774">
        <w:rPr>
          <w:rFonts w:cs="Arial"/>
          <w:sz w:val="24"/>
        </w:rPr>
        <w:t>Schedin</w:t>
      </w:r>
      <w:proofErr w:type="spellEnd"/>
      <w:r w:rsidRPr="009C7774">
        <w:rPr>
          <w:rFonts w:cs="Arial"/>
          <w:sz w:val="24"/>
        </w:rPr>
        <w:t xml:space="preserve"> P, Friedman PA, </w:t>
      </w:r>
      <w:proofErr w:type="spellStart"/>
      <w:r w:rsidRPr="009C7774">
        <w:rPr>
          <w:rFonts w:cs="Arial"/>
          <w:sz w:val="24"/>
        </w:rPr>
        <w:t>Wysolmerski</w:t>
      </w:r>
      <w:proofErr w:type="spellEnd"/>
      <w:r w:rsidRPr="009C7774">
        <w:rPr>
          <w:rFonts w:cs="Arial"/>
          <w:sz w:val="24"/>
        </w:rPr>
        <w:t xml:space="preserve"> JJ. (2019) NHERF1 is required for </w:t>
      </w:r>
      <w:proofErr w:type="gramStart"/>
      <w:r w:rsidRPr="009C7774">
        <w:rPr>
          <w:rFonts w:cs="Arial"/>
          <w:sz w:val="24"/>
        </w:rPr>
        <w:t xml:space="preserve">proper </w:t>
      </w:r>
      <w:r w:rsidR="003D5812" w:rsidRPr="009C7774">
        <w:rPr>
          <w:rFonts w:cs="Arial"/>
          <w:sz w:val="24"/>
        </w:rPr>
        <w:t xml:space="preserve"> </w:t>
      </w:r>
      <w:r w:rsidRPr="009C7774">
        <w:rPr>
          <w:rFonts w:cs="Arial"/>
          <w:sz w:val="24"/>
        </w:rPr>
        <w:t>localization</w:t>
      </w:r>
      <w:proofErr w:type="gramEnd"/>
      <w:r w:rsidRPr="009C7774">
        <w:rPr>
          <w:rFonts w:cs="Arial"/>
          <w:sz w:val="24"/>
        </w:rPr>
        <w:t xml:space="preserve"> of PMCA2 and suppression of early involution in the lactating mammary gland. </w:t>
      </w:r>
      <w:r w:rsidR="00BC0CB0" w:rsidRPr="007E5BA5">
        <w:rPr>
          <w:rFonts w:cs="Arial"/>
          <w:b/>
          <w:i/>
          <w:iCs/>
          <w:sz w:val="24"/>
        </w:rPr>
        <w:t>Endocrinology</w:t>
      </w:r>
      <w:r w:rsidR="000240E0" w:rsidRPr="009C7774">
        <w:rPr>
          <w:rFonts w:cs="Arial"/>
          <w:b/>
          <w:sz w:val="24"/>
        </w:rPr>
        <w:t xml:space="preserve">, </w:t>
      </w:r>
      <w:r w:rsidR="000240E0" w:rsidRPr="009C7774">
        <w:rPr>
          <w:rFonts w:cs="Arial"/>
          <w:sz w:val="24"/>
        </w:rPr>
        <w:t>en.2019-00230</w:t>
      </w:r>
      <w:r w:rsidR="00BC0CB0" w:rsidRPr="009C7774">
        <w:rPr>
          <w:rFonts w:cs="Arial"/>
          <w:sz w:val="24"/>
        </w:rPr>
        <w:t xml:space="preserve"> </w:t>
      </w:r>
      <w:r w:rsidR="003D5812" w:rsidRPr="009C7774">
        <w:rPr>
          <w:rFonts w:cs="Arial"/>
          <w:sz w:val="24"/>
        </w:rPr>
        <w:t xml:space="preserve"> </w:t>
      </w:r>
    </w:p>
    <w:p w14:paraId="139ED29C" w14:textId="77777777" w:rsidR="00674CA4" w:rsidRPr="009C7774" w:rsidRDefault="00674CA4" w:rsidP="009C7774">
      <w:pPr>
        <w:adjustRightInd w:val="0"/>
        <w:rPr>
          <w:rFonts w:cs="Arial"/>
          <w:sz w:val="24"/>
        </w:rPr>
      </w:pPr>
    </w:p>
    <w:p w14:paraId="4F02651E" w14:textId="0365B09F" w:rsidR="00674CA4" w:rsidRPr="009C7774" w:rsidRDefault="00CE5BB8" w:rsidP="009C7774">
      <w:pPr>
        <w:adjustRightInd w:val="0"/>
        <w:rPr>
          <w:rFonts w:cs="Arial"/>
          <w:b/>
          <w:sz w:val="24"/>
        </w:rPr>
      </w:pPr>
      <w:r>
        <w:rPr>
          <w:rFonts w:cs="Arial"/>
          <w:b/>
          <w:sz w:val="24"/>
        </w:rPr>
        <w:t>4</w:t>
      </w:r>
      <w:r w:rsidR="00674CA4" w:rsidRPr="009C7774">
        <w:rPr>
          <w:rFonts w:cs="Arial"/>
          <w:b/>
          <w:sz w:val="24"/>
        </w:rPr>
        <w:t>. Demonstrated the mechanism of lipid droplet secretion during lactation of mammary gland.</w:t>
      </w:r>
      <w:r w:rsidR="003F0A87" w:rsidRPr="009C7774">
        <w:rPr>
          <w:rFonts w:cs="Arial"/>
          <w:b/>
          <w:sz w:val="24"/>
        </w:rPr>
        <w:t xml:space="preserve"> </w:t>
      </w:r>
      <w:r w:rsidR="003F0A87" w:rsidRPr="009C7774">
        <w:rPr>
          <w:rFonts w:cs="Arial"/>
          <w:sz w:val="24"/>
        </w:rPr>
        <w:t xml:space="preserve">The interactions between </w:t>
      </w:r>
      <w:proofErr w:type="spellStart"/>
      <w:r w:rsidR="003F0A87" w:rsidRPr="009C7774">
        <w:rPr>
          <w:rFonts w:cs="Arial"/>
          <w:sz w:val="24"/>
        </w:rPr>
        <w:t>butyrophilin</w:t>
      </w:r>
      <w:proofErr w:type="spellEnd"/>
      <w:r w:rsidR="003F0A87" w:rsidRPr="009C7774">
        <w:rPr>
          <w:rFonts w:cs="Arial"/>
          <w:sz w:val="24"/>
        </w:rPr>
        <w:t xml:space="preserve"> 1a1 (BTN1a1) and xanthine </w:t>
      </w:r>
      <w:proofErr w:type="spellStart"/>
      <w:r w:rsidR="003F0A87" w:rsidRPr="009C7774">
        <w:rPr>
          <w:rFonts w:cs="Arial"/>
          <w:sz w:val="24"/>
        </w:rPr>
        <w:t>oxido</w:t>
      </w:r>
      <w:proofErr w:type="spellEnd"/>
      <w:r w:rsidR="003F0A87" w:rsidRPr="009C7774">
        <w:rPr>
          <w:rFonts w:cs="Arial"/>
          <w:sz w:val="24"/>
        </w:rPr>
        <w:t xml:space="preserve">-reductase (XOR) at the apical surface is critical for secretion of lipid droplets during lactation. We found that </w:t>
      </w:r>
      <w:r w:rsidR="00087DE0" w:rsidRPr="009C7774">
        <w:rPr>
          <w:rFonts w:cs="Arial"/>
          <w:sz w:val="24"/>
        </w:rPr>
        <w:t xml:space="preserve">loss of BTN1A1 causes defect of lipid droplet secretion during lactation. </w:t>
      </w:r>
    </w:p>
    <w:p w14:paraId="607A4414" w14:textId="77777777" w:rsidR="003A596A" w:rsidRPr="009C7774" w:rsidRDefault="003A596A" w:rsidP="009C7774">
      <w:pPr>
        <w:adjustRightInd w:val="0"/>
        <w:rPr>
          <w:rFonts w:cs="Arial"/>
          <w:sz w:val="24"/>
        </w:rPr>
      </w:pPr>
    </w:p>
    <w:p w14:paraId="6A0AAE05" w14:textId="416BDD9F" w:rsidR="00C10850" w:rsidRPr="00C10850" w:rsidRDefault="00C10850" w:rsidP="009C7774">
      <w:pPr>
        <w:pStyle w:val="ListParagraph"/>
        <w:numPr>
          <w:ilvl w:val="0"/>
          <w:numId w:val="20"/>
        </w:numPr>
        <w:adjustRightInd w:val="0"/>
        <w:rPr>
          <w:rFonts w:cs="Arial"/>
          <w:sz w:val="24"/>
        </w:rPr>
      </w:pPr>
      <w:r w:rsidRPr="00C10850">
        <w:rPr>
          <w:b/>
          <w:bCs/>
          <w:sz w:val="24"/>
        </w:rPr>
        <w:t>Jeong J</w:t>
      </w:r>
      <w:r w:rsidRPr="00C10850">
        <w:rPr>
          <w:sz w:val="24"/>
        </w:rPr>
        <w:t xml:space="preserve">, </w:t>
      </w:r>
      <w:proofErr w:type="spellStart"/>
      <w:r w:rsidRPr="00C10850">
        <w:rPr>
          <w:sz w:val="24"/>
        </w:rPr>
        <w:t>Schaack</w:t>
      </w:r>
      <w:proofErr w:type="spellEnd"/>
      <w:r w:rsidRPr="00C10850">
        <w:rPr>
          <w:sz w:val="24"/>
        </w:rPr>
        <w:t xml:space="preserve"> J, Jenkins LM, </w:t>
      </w:r>
      <w:proofErr w:type="spellStart"/>
      <w:r w:rsidRPr="00C10850">
        <w:rPr>
          <w:sz w:val="24"/>
        </w:rPr>
        <w:t>Dinan</w:t>
      </w:r>
      <w:proofErr w:type="spellEnd"/>
      <w:r w:rsidRPr="00C10850">
        <w:rPr>
          <w:sz w:val="24"/>
        </w:rPr>
        <w:t xml:space="preserve"> JC, </w:t>
      </w:r>
      <w:proofErr w:type="spellStart"/>
      <w:r w:rsidRPr="00C10850">
        <w:rPr>
          <w:sz w:val="24"/>
        </w:rPr>
        <w:t>Weigert</w:t>
      </w:r>
      <w:proofErr w:type="spellEnd"/>
      <w:r w:rsidRPr="00C10850">
        <w:rPr>
          <w:sz w:val="24"/>
        </w:rPr>
        <w:t xml:space="preserve"> R, Mather IH. Btn1a1 and XDH function in milk-lipid secretion. </w:t>
      </w:r>
      <w:r>
        <w:rPr>
          <w:sz w:val="24"/>
        </w:rPr>
        <w:t xml:space="preserve">(2020) </w:t>
      </w:r>
      <w:r w:rsidRPr="00C10850">
        <w:rPr>
          <w:rFonts w:cs="Arial"/>
          <w:bCs/>
          <w:sz w:val="24"/>
        </w:rPr>
        <w:t>Manuscript in Preparation.</w:t>
      </w:r>
    </w:p>
    <w:p w14:paraId="2EB750FE" w14:textId="316AD218" w:rsidR="00C10850" w:rsidRPr="00C10850" w:rsidRDefault="00C10850" w:rsidP="009C7774">
      <w:pPr>
        <w:pStyle w:val="ListParagraph"/>
        <w:numPr>
          <w:ilvl w:val="0"/>
          <w:numId w:val="20"/>
        </w:numPr>
        <w:adjustRightInd w:val="0"/>
        <w:rPr>
          <w:rFonts w:cs="Arial"/>
          <w:sz w:val="24"/>
        </w:rPr>
      </w:pPr>
      <w:r w:rsidRPr="00C10850">
        <w:rPr>
          <w:b/>
          <w:sz w:val="24"/>
        </w:rPr>
        <w:t>Jeong J</w:t>
      </w:r>
      <w:r w:rsidRPr="00C10850">
        <w:rPr>
          <w:bCs/>
          <w:sz w:val="24"/>
        </w:rPr>
        <w:t xml:space="preserve">, </w:t>
      </w:r>
      <w:proofErr w:type="spellStart"/>
      <w:r w:rsidRPr="00C10850">
        <w:rPr>
          <w:bCs/>
          <w:sz w:val="24"/>
        </w:rPr>
        <w:t>Kadegowda</w:t>
      </w:r>
      <w:proofErr w:type="spellEnd"/>
      <w:r w:rsidRPr="00C10850">
        <w:rPr>
          <w:bCs/>
          <w:sz w:val="24"/>
        </w:rPr>
        <w:t xml:space="preserve"> AKG, Meyer TJ, Jenkins L, </w:t>
      </w:r>
      <w:proofErr w:type="spellStart"/>
      <w:r w:rsidRPr="00C10850">
        <w:rPr>
          <w:bCs/>
          <w:sz w:val="24"/>
        </w:rPr>
        <w:t>Dinan</w:t>
      </w:r>
      <w:proofErr w:type="spellEnd"/>
      <w:r w:rsidRPr="00C10850">
        <w:rPr>
          <w:bCs/>
          <w:sz w:val="24"/>
        </w:rPr>
        <w:t xml:space="preserve"> JC, </w:t>
      </w:r>
      <w:proofErr w:type="spellStart"/>
      <w:r w:rsidRPr="00C10850">
        <w:rPr>
          <w:bCs/>
          <w:sz w:val="24"/>
        </w:rPr>
        <w:t>Weigert</w:t>
      </w:r>
      <w:proofErr w:type="spellEnd"/>
      <w:r w:rsidRPr="00C10850">
        <w:rPr>
          <w:bCs/>
          <w:sz w:val="24"/>
        </w:rPr>
        <w:t xml:space="preserve"> R, Mather IH. (2020) The </w:t>
      </w:r>
      <w:proofErr w:type="spellStart"/>
      <w:r w:rsidRPr="00C10850">
        <w:rPr>
          <w:bCs/>
          <w:sz w:val="24"/>
        </w:rPr>
        <w:t>butyrophilin</w:t>
      </w:r>
      <w:proofErr w:type="spellEnd"/>
      <w:r w:rsidRPr="00C10850">
        <w:rPr>
          <w:bCs/>
          <w:sz w:val="24"/>
        </w:rPr>
        <w:t xml:space="preserve"> 1a1 (Btn1a1) knock out mouse revisited; Ablation of Btn1a1 leads to concurrent cell death and renewal in the mammary epithelium during lactation. </w:t>
      </w:r>
      <w:r w:rsidRPr="00C10850">
        <w:rPr>
          <w:rFonts w:cs="Arial"/>
          <w:bCs/>
          <w:sz w:val="24"/>
        </w:rPr>
        <w:t>Manuscript in Preparation.</w:t>
      </w:r>
    </w:p>
    <w:p w14:paraId="56855353" w14:textId="34C2C2C8" w:rsidR="003A596A" w:rsidRPr="009C7774" w:rsidRDefault="003A596A" w:rsidP="009C7774">
      <w:pPr>
        <w:pStyle w:val="ListParagraph"/>
        <w:numPr>
          <w:ilvl w:val="0"/>
          <w:numId w:val="20"/>
        </w:numPr>
        <w:adjustRightInd w:val="0"/>
        <w:rPr>
          <w:rFonts w:cs="Arial"/>
          <w:sz w:val="24"/>
        </w:rPr>
      </w:pPr>
      <w:r w:rsidRPr="00C10850">
        <w:rPr>
          <w:rFonts w:cs="Arial"/>
          <w:b/>
          <w:sz w:val="24"/>
        </w:rPr>
        <w:t>Jeong J</w:t>
      </w:r>
      <w:r w:rsidRPr="00C10850">
        <w:rPr>
          <w:rFonts w:cs="Arial"/>
          <w:sz w:val="24"/>
        </w:rPr>
        <w:t xml:space="preserve">, </w:t>
      </w:r>
      <w:proofErr w:type="spellStart"/>
      <w:r w:rsidRPr="00C10850">
        <w:rPr>
          <w:rFonts w:cs="Arial"/>
          <w:sz w:val="24"/>
        </w:rPr>
        <w:t>Lisinski</w:t>
      </w:r>
      <w:proofErr w:type="spellEnd"/>
      <w:r w:rsidRPr="00C10850">
        <w:rPr>
          <w:rFonts w:cs="Arial"/>
          <w:sz w:val="24"/>
        </w:rPr>
        <w:t xml:space="preserve"> I, </w:t>
      </w:r>
      <w:proofErr w:type="spellStart"/>
      <w:r w:rsidRPr="00C10850">
        <w:rPr>
          <w:rFonts w:cs="Arial"/>
          <w:sz w:val="24"/>
        </w:rPr>
        <w:t>Kadegowda</w:t>
      </w:r>
      <w:proofErr w:type="spellEnd"/>
      <w:r w:rsidRPr="00C10850">
        <w:rPr>
          <w:rFonts w:cs="Arial"/>
          <w:sz w:val="24"/>
        </w:rPr>
        <w:t xml:space="preserve"> AK, Shin H, Wooding FB, Daniels BR, </w:t>
      </w:r>
      <w:proofErr w:type="spellStart"/>
      <w:r w:rsidRPr="00C10850">
        <w:rPr>
          <w:rFonts w:cs="Arial"/>
          <w:sz w:val="24"/>
        </w:rPr>
        <w:t>Schaack</w:t>
      </w:r>
      <w:proofErr w:type="spellEnd"/>
      <w:r w:rsidRPr="00C10850">
        <w:rPr>
          <w:rFonts w:cs="Arial"/>
          <w:sz w:val="24"/>
        </w:rPr>
        <w:t xml:space="preserve"> J, Mather IH. (2013) A test of current models for the mechanism of milk-lipid droplet secretion. </w:t>
      </w:r>
      <w:r w:rsidRPr="00C10850">
        <w:rPr>
          <w:rFonts w:cs="Arial"/>
          <w:b/>
          <w:i/>
          <w:iCs/>
          <w:sz w:val="24"/>
        </w:rPr>
        <w:t>Traffic</w:t>
      </w:r>
      <w:r w:rsidRPr="009C7774">
        <w:rPr>
          <w:rFonts w:cs="Arial"/>
          <w:sz w:val="24"/>
        </w:rPr>
        <w:t>. 14(9):974-86</w:t>
      </w:r>
    </w:p>
    <w:p w14:paraId="5BADD417" w14:textId="4198F792" w:rsidR="002C51BC" w:rsidRPr="009C7774" w:rsidRDefault="003A596A" w:rsidP="009C7774">
      <w:pPr>
        <w:pStyle w:val="ListParagraph"/>
        <w:numPr>
          <w:ilvl w:val="0"/>
          <w:numId w:val="20"/>
        </w:numPr>
        <w:adjustRightInd w:val="0"/>
        <w:rPr>
          <w:rFonts w:cs="Arial"/>
          <w:sz w:val="24"/>
        </w:rPr>
      </w:pPr>
      <w:r w:rsidRPr="009C7774">
        <w:rPr>
          <w:rFonts w:cs="Arial"/>
          <w:b/>
          <w:sz w:val="24"/>
        </w:rPr>
        <w:t>Jeong J</w:t>
      </w:r>
      <w:r w:rsidRPr="009C7774">
        <w:rPr>
          <w:rFonts w:cs="Arial"/>
          <w:sz w:val="24"/>
        </w:rPr>
        <w:t xml:space="preserve">, Rao, A.U., Xu, J., </w:t>
      </w:r>
      <w:proofErr w:type="spellStart"/>
      <w:r w:rsidRPr="009C7774">
        <w:rPr>
          <w:rFonts w:cs="Arial"/>
          <w:sz w:val="24"/>
        </w:rPr>
        <w:t>Ogg</w:t>
      </w:r>
      <w:proofErr w:type="spellEnd"/>
      <w:r w:rsidRPr="009C7774">
        <w:rPr>
          <w:rFonts w:cs="Arial"/>
          <w:sz w:val="24"/>
        </w:rPr>
        <w:t xml:space="preserve">, S.L., </w:t>
      </w:r>
      <w:proofErr w:type="spellStart"/>
      <w:r w:rsidRPr="009C7774">
        <w:rPr>
          <w:rFonts w:cs="Arial"/>
          <w:sz w:val="24"/>
        </w:rPr>
        <w:t>Hathout</w:t>
      </w:r>
      <w:proofErr w:type="spellEnd"/>
      <w:r w:rsidRPr="009C7774">
        <w:rPr>
          <w:rFonts w:cs="Arial"/>
          <w:sz w:val="24"/>
        </w:rPr>
        <w:t xml:space="preserve">, Y., </w:t>
      </w:r>
      <w:proofErr w:type="spellStart"/>
      <w:r w:rsidRPr="009C7774">
        <w:rPr>
          <w:rFonts w:cs="Arial"/>
          <w:sz w:val="24"/>
        </w:rPr>
        <w:t>Fenselau</w:t>
      </w:r>
      <w:proofErr w:type="spellEnd"/>
      <w:r w:rsidRPr="009C7774">
        <w:rPr>
          <w:rFonts w:cs="Arial"/>
          <w:sz w:val="24"/>
        </w:rPr>
        <w:t xml:space="preserve">, C., and Mather I.H. (2009) The PRY/SPRY/B30.2 domain of </w:t>
      </w:r>
      <w:proofErr w:type="spellStart"/>
      <w:r w:rsidRPr="009C7774">
        <w:rPr>
          <w:rFonts w:cs="Arial"/>
          <w:sz w:val="24"/>
        </w:rPr>
        <w:t>butyrophilin</w:t>
      </w:r>
      <w:proofErr w:type="spellEnd"/>
      <w:r w:rsidRPr="009C7774">
        <w:rPr>
          <w:rFonts w:cs="Arial"/>
          <w:sz w:val="24"/>
        </w:rPr>
        <w:t xml:space="preserve"> 1A1 (BTN1A1)</w:t>
      </w:r>
      <w:r w:rsidR="003F3E1C" w:rsidRPr="009C7774">
        <w:rPr>
          <w:rFonts w:cs="Arial"/>
          <w:sz w:val="24"/>
        </w:rPr>
        <w:t xml:space="preserve"> </w:t>
      </w:r>
      <w:r w:rsidRPr="009C7774">
        <w:rPr>
          <w:rFonts w:cs="Arial"/>
          <w:sz w:val="24"/>
        </w:rPr>
        <w:t xml:space="preserve">binds to xanthine oxidoreductase: Implication for the function of BTN1A1 in the mammary gland and other tissues. </w:t>
      </w:r>
      <w:r w:rsidRPr="007E5BA5">
        <w:rPr>
          <w:rFonts w:cs="Arial"/>
          <w:b/>
          <w:i/>
          <w:iCs/>
          <w:sz w:val="24"/>
        </w:rPr>
        <w:t>J. Biol. Chem</w:t>
      </w:r>
      <w:r w:rsidRPr="009C7774">
        <w:rPr>
          <w:rFonts w:cs="Arial"/>
          <w:b/>
          <w:sz w:val="24"/>
        </w:rPr>
        <w:t>.</w:t>
      </w:r>
      <w:r w:rsidRPr="009C7774">
        <w:rPr>
          <w:rFonts w:cs="Arial"/>
          <w:sz w:val="24"/>
        </w:rPr>
        <w:t xml:space="preserve"> 284: 22444-22456</w:t>
      </w:r>
    </w:p>
    <w:p w14:paraId="7A060A73" w14:textId="77777777" w:rsidR="003F0A87" w:rsidRPr="009C7774" w:rsidRDefault="003F0A87" w:rsidP="009C7774">
      <w:pPr>
        <w:adjustRightInd w:val="0"/>
        <w:rPr>
          <w:rFonts w:cs="Arial"/>
          <w:sz w:val="24"/>
        </w:rPr>
      </w:pPr>
    </w:p>
    <w:p w14:paraId="4E8FA9D9" w14:textId="7AA70EFB" w:rsidR="00087DE0" w:rsidRPr="009C7774" w:rsidRDefault="00087DE0" w:rsidP="009C7774">
      <w:pPr>
        <w:adjustRightInd w:val="0"/>
        <w:rPr>
          <w:rFonts w:cs="Arial"/>
          <w:b/>
          <w:sz w:val="24"/>
        </w:rPr>
      </w:pPr>
      <w:r w:rsidRPr="009C7774">
        <w:rPr>
          <w:rFonts w:cs="Arial"/>
          <w:b/>
          <w:sz w:val="24"/>
        </w:rPr>
        <w:t>3. Other co-author paper</w:t>
      </w:r>
      <w:r w:rsidR="00D20E51" w:rsidRPr="009C7774">
        <w:rPr>
          <w:rFonts w:cs="Arial"/>
          <w:b/>
          <w:sz w:val="24"/>
        </w:rPr>
        <w:t>s</w:t>
      </w:r>
    </w:p>
    <w:p w14:paraId="2AEBF505" w14:textId="46912739" w:rsidR="003F0A87" w:rsidRPr="009C7774" w:rsidRDefault="00087DE0" w:rsidP="007E5BA5">
      <w:pPr>
        <w:adjustRightInd w:val="0"/>
        <w:ind w:left="405"/>
        <w:rPr>
          <w:rFonts w:cs="Arial"/>
          <w:sz w:val="24"/>
        </w:rPr>
      </w:pPr>
      <w:r w:rsidRPr="009C7774">
        <w:rPr>
          <w:rFonts w:cs="Arial"/>
          <w:b/>
          <w:sz w:val="24"/>
        </w:rPr>
        <w:t>a)</w:t>
      </w:r>
      <w:r w:rsidRPr="009C7774">
        <w:rPr>
          <w:rFonts w:cs="Arial"/>
          <w:sz w:val="24"/>
        </w:rPr>
        <w:t xml:space="preserve"> </w:t>
      </w:r>
      <w:r w:rsidR="003F0A87" w:rsidRPr="009C7774">
        <w:rPr>
          <w:rFonts w:cs="Arial"/>
          <w:sz w:val="24"/>
        </w:rPr>
        <w:t xml:space="preserve">Kim W, </w:t>
      </w:r>
      <w:proofErr w:type="spellStart"/>
      <w:r w:rsidR="003F0A87" w:rsidRPr="009C7774">
        <w:rPr>
          <w:rFonts w:cs="Arial"/>
          <w:sz w:val="24"/>
        </w:rPr>
        <w:t>Takyar</w:t>
      </w:r>
      <w:proofErr w:type="spellEnd"/>
      <w:r w:rsidR="003F0A87" w:rsidRPr="009C7774">
        <w:rPr>
          <w:rFonts w:cs="Arial"/>
          <w:sz w:val="24"/>
        </w:rPr>
        <w:t xml:space="preserve"> FM, Swan K, </w:t>
      </w:r>
      <w:r w:rsidR="003F0A87" w:rsidRPr="009C7774">
        <w:rPr>
          <w:rFonts w:cs="Arial"/>
          <w:b/>
          <w:sz w:val="24"/>
        </w:rPr>
        <w:t>Jeong J</w:t>
      </w:r>
      <w:r w:rsidR="003F0A87" w:rsidRPr="009C7774">
        <w:rPr>
          <w:rFonts w:cs="Arial"/>
          <w:sz w:val="24"/>
        </w:rPr>
        <w:t xml:space="preserve">, </w:t>
      </w:r>
      <w:proofErr w:type="spellStart"/>
      <w:r w:rsidR="003F0A87" w:rsidRPr="009C7774">
        <w:rPr>
          <w:rFonts w:cs="Arial"/>
          <w:sz w:val="24"/>
        </w:rPr>
        <w:t>VanHouten</w:t>
      </w:r>
      <w:proofErr w:type="spellEnd"/>
      <w:r w:rsidR="003F0A87" w:rsidRPr="009C7774">
        <w:rPr>
          <w:rFonts w:cs="Arial"/>
          <w:sz w:val="24"/>
        </w:rPr>
        <w:t xml:space="preserve"> J, Sullivan C, Dann P, Yu H, </w:t>
      </w:r>
      <w:r w:rsidR="007E5BA5">
        <w:rPr>
          <w:rFonts w:cs="Arial"/>
          <w:sz w:val="24"/>
        </w:rPr>
        <w:t xml:space="preserve">   </w:t>
      </w:r>
      <w:proofErr w:type="spellStart"/>
      <w:r w:rsidR="003F0A87" w:rsidRPr="009C7774">
        <w:rPr>
          <w:rFonts w:cs="Arial"/>
          <w:sz w:val="24"/>
        </w:rPr>
        <w:t>FiaschiTaesch</w:t>
      </w:r>
      <w:proofErr w:type="spellEnd"/>
      <w:r w:rsidR="003F0A87" w:rsidRPr="009C7774">
        <w:rPr>
          <w:rFonts w:cs="Arial"/>
          <w:sz w:val="24"/>
        </w:rPr>
        <w:t xml:space="preserve"> N, Chang W, </w:t>
      </w:r>
      <w:proofErr w:type="spellStart"/>
      <w:r w:rsidR="003F0A87" w:rsidRPr="009C7774">
        <w:rPr>
          <w:rFonts w:cs="Arial"/>
          <w:sz w:val="24"/>
        </w:rPr>
        <w:t>Wysolmerski</w:t>
      </w:r>
      <w:proofErr w:type="spellEnd"/>
      <w:r w:rsidR="003F0A87" w:rsidRPr="009C7774">
        <w:rPr>
          <w:rFonts w:cs="Arial"/>
          <w:sz w:val="24"/>
        </w:rPr>
        <w:t xml:space="preserve"> J. (2016) Calcium-Sensing Receptor </w:t>
      </w:r>
      <w:r w:rsidR="003F0A87" w:rsidRPr="009C7774">
        <w:rPr>
          <w:rFonts w:cs="Arial"/>
          <w:sz w:val="24"/>
        </w:rPr>
        <w:lastRenderedPageBreak/>
        <w:t>Promotes Breast Cancer by Stimulating</w:t>
      </w:r>
      <w:r w:rsidR="007E5BA5">
        <w:rPr>
          <w:rFonts w:cs="Arial"/>
          <w:sz w:val="24"/>
        </w:rPr>
        <w:t xml:space="preserve"> </w:t>
      </w:r>
      <w:r w:rsidR="003F0A87" w:rsidRPr="009C7774">
        <w:rPr>
          <w:rFonts w:cs="Arial"/>
          <w:sz w:val="24"/>
        </w:rPr>
        <w:t xml:space="preserve">Intracrine Actions of Parathyroid Hormone-Related Protein. </w:t>
      </w:r>
      <w:r w:rsidR="003F0A87" w:rsidRPr="00634DC3">
        <w:rPr>
          <w:rFonts w:cs="Arial"/>
          <w:b/>
          <w:i/>
          <w:iCs/>
          <w:sz w:val="24"/>
        </w:rPr>
        <w:t>Cancer Res</w:t>
      </w:r>
      <w:r w:rsidR="003F0A87" w:rsidRPr="009C7774">
        <w:rPr>
          <w:rFonts w:cs="Arial"/>
          <w:b/>
          <w:sz w:val="24"/>
        </w:rPr>
        <w:t>.</w:t>
      </w:r>
      <w:r w:rsidR="003F0A87" w:rsidRPr="009C7774">
        <w:rPr>
          <w:rFonts w:cs="Arial"/>
          <w:sz w:val="24"/>
        </w:rPr>
        <w:t xml:space="preserve"> Sep 15;76(18):5348-60.</w:t>
      </w:r>
    </w:p>
    <w:p w14:paraId="54CBD660" w14:textId="77777777" w:rsidR="003F0A87" w:rsidRPr="009C7774" w:rsidRDefault="003F0A87" w:rsidP="009C7774">
      <w:pPr>
        <w:adjustRightInd w:val="0"/>
        <w:rPr>
          <w:rStyle w:val="Strong"/>
          <w:rFonts w:cs="Arial"/>
          <w:sz w:val="24"/>
        </w:rPr>
      </w:pPr>
    </w:p>
    <w:p w14:paraId="5CE1EAD0" w14:textId="77777777" w:rsidR="002C51BC" w:rsidRPr="009C7774" w:rsidRDefault="002C51BC" w:rsidP="009C7774">
      <w:pPr>
        <w:pStyle w:val="DataField11pt-Single"/>
        <w:rPr>
          <w:rStyle w:val="Strong"/>
          <w:sz w:val="24"/>
          <w:szCs w:val="24"/>
        </w:rPr>
      </w:pPr>
    </w:p>
    <w:sectPr w:rsidR="002C51BC" w:rsidRPr="009C7774" w:rsidSect="00F0086A">
      <w:headerReference w:type="default" r:id="rId10"/>
      <w:type w:val="continuous"/>
      <w:pgSz w:w="12240" w:h="15840" w:code="1"/>
      <w:pgMar w:top="1440" w:right="1440" w:bottom="1440"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75DD7" w14:textId="77777777" w:rsidR="00A96F15" w:rsidRDefault="00A96F15">
      <w:r>
        <w:separator/>
      </w:r>
    </w:p>
  </w:endnote>
  <w:endnote w:type="continuationSeparator" w:id="0">
    <w:p w14:paraId="4110BA99" w14:textId="77777777" w:rsidR="00A96F15" w:rsidRDefault="00A9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16808" w14:textId="77777777" w:rsidR="00A96F15" w:rsidRDefault="00A96F15">
      <w:r>
        <w:separator/>
      </w:r>
    </w:p>
  </w:footnote>
  <w:footnote w:type="continuationSeparator" w:id="0">
    <w:p w14:paraId="6CE0F381" w14:textId="77777777" w:rsidR="00A96F15" w:rsidRDefault="00A96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243F32D5"/>
    <w:multiLevelType w:val="hybridMultilevel"/>
    <w:tmpl w:val="B7C6DE0A"/>
    <w:lvl w:ilvl="0" w:tplc="8AD22D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F6DD5"/>
    <w:multiLevelType w:val="hybridMultilevel"/>
    <w:tmpl w:val="B7C6DE0A"/>
    <w:lvl w:ilvl="0" w:tplc="8AD22D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744DA"/>
    <w:multiLevelType w:val="hybridMultilevel"/>
    <w:tmpl w:val="C1F2F154"/>
    <w:lvl w:ilvl="0" w:tplc="9EF6B2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3A57032"/>
    <w:multiLevelType w:val="hybridMultilevel"/>
    <w:tmpl w:val="B7C6DE0A"/>
    <w:lvl w:ilvl="0" w:tplc="8AD22D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78620ED7"/>
    <w:multiLevelType w:val="hybridMultilevel"/>
    <w:tmpl w:val="FA7E4128"/>
    <w:lvl w:ilvl="0" w:tplc="8FB6AF42">
      <w:start w:val="1"/>
      <w:numFmt w:val="lowerLetter"/>
      <w:lvlText w:val="%1)"/>
      <w:lvlJc w:val="left"/>
      <w:pPr>
        <w:ind w:left="720" w:hanging="360"/>
      </w:pPr>
      <w:rPr>
        <w:rFonts w:ascii="Arial" w:hAnsi="Arial"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20"/>
  </w:num>
  <w:num w:numId="15">
    <w:abstractNumId w:val="18"/>
  </w:num>
  <w:num w:numId="16">
    <w:abstractNumId w:val="19"/>
  </w:num>
  <w:num w:numId="17">
    <w:abstractNumId w:val="10"/>
  </w:num>
  <w:num w:numId="18">
    <w:abstractNumId w:val="15"/>
  </w:num>
  <w:num w:numId="19">
    <w:abstractNumId w:val="13"/>
  </w:num>
  <w:num w:numId="20">
    <w:abstractNumId w:val="14"/>
  </w:num>
  <w:num w:numId="21">
    <w:abstractNumId w:val="17"/>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7231"/>
    <w:rsid w:val="00023A7A"/>
    <w:rsid w:val="000240E0"/>
    <w:rsid w:val="00067621"/>
    <w:rsid w:val="00084466"/>
    <w:rsid w:val="00087DE0"/>
    <w:rsid w:val="000D2958"/>
    <w:rsid w:val="000E3BEC"/>
    <w:rsid w:val="00122EB3"/>
    <w:rsid w:val="00132CA6"/>
    <w:rsid w:val="0014571A"/>
    <w:rsid w:val="00170D87"/>
    <w:rsid w:val="00175672"/>
    <w:rsid w:val="00177D49"/>
    <w:rsid w:val="00183022"/>
    <w:rsid w:val="001C065C"/>
    <w:rsid w:val="001E5DD3"/>
    <w:rsid w:val="001F1E01"/>
    <w:rsid w:val="002506F6"/>
    <w:rsid w:val="0028051C"/>
    <w:rsid w:val="002A70D9"/>
    <w:rsid w:val="002B64F2"/>
    <w:rsid w:val="002B7443"/>
    <w:rsid w:val="002C4808"/>
    <w:rsid w:val="002C51BC"/>
    <w:rsid w:val="002D7520"/>
    <w:rsid w:val="002E2CA2"/>
    <w:rsid w:val="002E50DE"/>
    <w:rsid w:val="002E5125"/>
    <w:rsid w:val="00307C9E"/>
    <w:rsid w:val="0031254F"/>
    <w:rsid w:val="00321A19"/>
    <w:rsid w:val="0035045F"/>
    <w:rsid w:val="0037667F"/>
    <w:rsid w:val="00382AB6"/>
    <w:rsid w:val="00383712"/>
    <w:rsid w:val="00390691"/>
    <w:rsid w:val="003A596A"/>
    <w:rsid w:val="003B6BEE"/>
    <w:rsid w:val="003C2647"/>
    <w:rsid w:val="003C3CA5"/>
    <w:rsid w:val="003C62D6"/>
    <w:rsid w:val="003D2399"/>
    <w:rsid w:val="003D5812"/>
    <w:rsid w:val="003E4A92"/>
    <w:rsid w:val="003F0A87"/>
    <w:rsid w:val="003F3E1C"/>
    <w:rsid w:val="003F6A45"/>
    <w:rsid w:val="0040289D"/>
    <w:rsid w:val="0040356E"/>
    <w:rsid w:val="0040406C"/>
    <w:rsid w:val="00424ED8"/>
    <w:rsid w:val="00432346"/>
    <w:rsid w:val="00447F3A"/>
    <w:rsid w:val="004759D9"/>
    <w:rsid w:val="00483978"/>
    <w:rsid w:val="0049068A"/>
    <w:rsid w:val="00493D23"/>
    <w:rsid w:val="004A3FC8"/>
    <w:rsid w:val="00503B57"/>
    <w:rsid w:val="005145BB"/>
    <w:rsid w:val="00517BFD"/>
    <w:rsid w:val="0054471F"/>
    <w:rsid w:val="005461F3"/>
    <w:rsid w:val="00547118"/>
    <w:rsid w:val="00547AC9"/>
    <w:rsid w:val="00550B92"/>
    <w:rsid w:val="00592740"/>
    <w:rsid w:val="005A7F6F"/>
    <w:rsid w:val="005C2BDD"/>
    <w:rsid w:val="005C2CF8"/>
    <w:rsid w:val="005C47A8"/>
    <w:rsid w:val="005E406E"/>
    <w:rsid w:val="005F0B12"/>
    <w:rsid w:val="005F5F51"/>
    <w:rsid w:val="00601C69"/>
    <w:rsid w:val="00616BCC"/>
    <w:rsid w:val="00624261"/>
    <w:rsid w:val="00634DC3"/>
    <w:rsid w:val="00646AF9"/>
    <w:rsid w:val="00656AB8"/>
    <w:rsid w:val="006609B6"/>
    <w:rsid w:val="00674CA4"/>
    <w:rsid w:val="0068699D"/>
    <w:rsid w:val="006A353C"/>
    <w:rsid w:val="006A56FC"/>
    <w:rsid w:val="006B2D1C"/>
    <w:rsid w:val="006C1E1F"/>
    <w:rsid w:val="006E5B25"/>
    <w:rsid w:val="006E6FB5"/>
    <w:rsid w:val="007050F5"/>
    <w:rsid w:val="0071140F"/>
    <w:rsid w:val="00722C8F"/>
    <w:rsid w:val="00733B25"/>
    <w:rsid w:val="0073620B"/>
    <w:rsid w:val="00737B81"/>
    <w:rsid w:val="00763DE9"/>
    <w:rsid w:val="007641CA"/>
    <w:rsid w:val="00781234"/>
    <w:rsid w:val="007B7AF3"/>
    <w:rsid w:val="007E5BA5"/>
    <w:rsid w:val="007F50A4"/>
    <w:rsid w:val="008073EB"/>
    <w:rsid w:val="00840115"/>
    <w:rsid w:val="00843027"/>
    <w:rsid w:val="00873917"/>
    <w:rsid w:val="00874EBC"/>
    <w:rsid w:val="0087514A"/>
    <w:rsid w:val="00887616"/>
    <w:rsid w:val="00890CA9"/>
    <w:rsid w:val="008A75E9"/>
    <w:rsid w:val="008C444C"/>
    <w:rsid w:val="008F7584"/>
    <w:rsid w:val="00917EAC"/>
    <w:rsid w:val="009211D3"/>
    <w:rsid w:val="00933173"/>
    <w:rsid w:val="00934124"/>
    <w:rsid w:val="00952A27"/>
    <w:rsid w:val="00977FA5"/>
    <w:rsid w:val="009C7774"/>
    <w:rsid w:val="009D4DEB"/>
    <w:rsid w:val="009D7E97"/>
    <w:rsid w:val="009E52CA"/>
    <w:rsid w:val="009F72E5"/>
    <w:rsid w:val="00A03FFA"/>
    <w:rsid w:val="00A04942"/>
    <w:rsid w:val="00A04B52"/>
    <w:rsid w:val="00A1469B"/>
    <w:rsid w:val="00A14EF5"/>
    <w:rsid w:val="00A221C2"/>
    <w:rsid w:val="00A26D0F"/>
    <w:rsid w:val="00A42D9B"/>
    <w:rsid w:val="00A50A8B"/>
    <w:rsid w:val="00A54A0D"/>
    <w:rsid w:val="00A55D1D"/>
    <w:rsid w:val="00A63D7C"/>
    <w:rsid w:val="00A7514C"/>
    <w:rsid w:val="00A8122C"/>
    <w:rsid w:val="00A83312"/>
    <w:rsid w:val="00A96F15"/>
    <w:rsid w:val="00AB1776"/>
    <w:rsid w:val="00AE41C4"/>
    <w:rsid w:val="00B2660C"/>
    <w:rsid w:val="00BC0CB0"/>
    <w:rsid w:val="00C05C55"/>
    <w:rsid w:val="00C076C6"/>
    <w:rsid w:val="00C10850"/>
    <w:rsid w:val="00C1247F"/>
    <w:rsid w:val="00C137DA"/>
    <w:rsid w:val="00C20F69"/>
    <w:rsid w:val="00C3113F"/>
    <w:rsid w:val="00C4536F"/>
    <w:rsid w:val="00C46ADA"/>
    <w:rsid w:val="00C5748F"/>
    <w:rsid w:val="00C8438D"/>
    <w:rsid w:val="00C85025"/>
    <w:rsid w:val="00C918BD"/>
    <w:rsid w:val="00C94E59"/>
    <w:rsid w:val="00CA04E5"/>
    <w:rsid w:val="00CA680A"/>
    <w:rsid w:val="00CE0951"/>
    <w:rsid w:val="00CE5BB8"/>
    <w:rsid w:val="00CF1928"/>
    <w:rsid w:val="00CF68A2"/>
    <w:rsid w:val="00D20E51"/>
    <w:rsid w:val="00D272C5"/>
    <w:rsid w:val="00D34735"/>
    <w:rsid w:val="00D3779E"/>
    <w:rsid w:val="00D679E5"/>
    <w:rsid w:val="00D73F42"/>
    <w:rsid w:val="00D74391"/>
    <w:rsid w:val="00D83360"/>
    <w:rsid w:val="00DA22ED"/>
    <w:rsid w:val="00DB7B85"/>
    <w:rsid w:val="00DD31B4"/>
    <w:rsid w:val="00DF7645"/>
    <w:rsid w:val="00E03323"/>
    <w:rsid w:val="00E047AD"/>
    <w:rsid w:val="00E12287"/>
    <w:rsid w:val="00E127A1"/>
    <w:rsid w:val="00E20E6D"/>
    <w:rsid w:val="00E26FA9"/>
    <w:rsid w:val="00E355C2"/>
    <w:rsid w:val="00E53B95"/>
    <w:rsid w:val="00E67A05"/>
    <w:rsid w:val="00E74042"/>
    <w:rsid w:val="00E74AB7"/>
    <w:rsid w:val="00E81FE1"/>
    <w:rsid w:val="00E90203"/>
    <w:rsid w:val="00EA0405"/>
    <w:rsid w:val="00EC0961"/>
    <w:rsid w:val="00ED0C9A"/>
    <w:rsid w:val="00ED2779"/>
    <w:rsid w:val="00ED35D7"/>
    <w:rsid w:val="00ED61AB"/>
    <w:rsid w:val="00EE1C80"/>
    <w:rsid w:val="00EF4C32"/>
    <w:rsid w:val="00EF69CD"/>
    <w:rsid w:val="00F0086A"/>
    <w:rsid w:val="00F02126"/>
    <w:rsid w:val="00F07AB3"/>
    <w:rsid w:val="00F262AB"/>
    <w:rsid w:val="00F51ABA"/>
    <w:rsid w:val="00F7284D"/>
    <w:rsid w:val="00F94A2B"/>
    <w:rsid w:val="00FA0021"/>
    <w:rsid w:val="00FA00C6"/>
    <w:rsid w:val="00FC5F9E"/>
    <w:rsid w:val="00FE10AD"/>
    <w:rsid w:val="00FE52B9"/>
    <w:rsid w:val="00FE630E"/>
    <w:rsid w:val="00FF1D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docId w15:val="{B523CCB0-A1CC-4677-A308-50A5420A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efault">
    <w:name w:val="Default"/>
    <w:rsid w:val="003A596A"/>
    <w:pPr>
      <w:autoSpaceDE w:val="0"/>
      <w:autoSpaceDN w:val="0"/>
      <w:adjustRightInd w:val="0"/>
    </w:pPr>
    <w:rPr>
      <w:color w:val="000000"/>
      <w:sz w:val="24"/>
      <w:szCs w:val="24"/>
      <w:lang w:eastAsia="ko-KR"/>
    </w:rPr>
  </w:style>
  <w:style w:type="paragraph" w:styleId="ListParagraph">
    <w:name w:val="List Paragraph"/>
    <w:basedOn w:val="Normal"/>
    <w:uiPriority w:val="34"/>
    <w:qFormat/>
    <w:rsid w:val="003F0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7501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Jeong, Jaekwang</cp:lastModifiedBy>
  <cp:revision>3</cp:revision>
  <cp:lastPrinted>2019-02-11T16:53:00Z</cp:lastPrinted>
  <dcterms:created xsi:type="dcterms:W3CDTF">2020-10-07T17:07:00Z</dcterms:created>
  <dcterms:modified xsi:type="dcterms:W3CDTF">2020-10-07T17:08:00Z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